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Heading2"/>
        <w:spacing w:line="244" w:lineRule="auto"/>
        <w:ind w:left="458" w:right="696"/>
        <w:jc w:val="center"/>
      </w:pPr>
      <w:r>
        <w:rPr/>
        <w:t>EFFECTS OF ACUTE EXPOSURE TO GENERATOR EXHAUST FUMES ON LEARNING, MEMORY AND MOTOR COORDINATION IN ALBINO MICE</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39"/>
        <w:rPr>
          <w:b/>
        </w:rPr>
      </w:pPr>
    </w:p>
    <w:p>
      <w:pPr>
        <w:spacing w:before="1"/>
        <w:ind w:left="0" w:right="237" w:firstLine="0"/>
        <w:jc w:val="center"/>
        <w:rPr>
          <w:b/>
          <w:sz w:val="22"/>
        </w:rPr>
      </w:pPr>
      <w:r>
        <w:rPr>
          <w:b/>
          <w:spacing w:val="-5"/>
          <w:sz w:val="22"/>
        </w:rPr>
        <w:t>By</w:t>
      </w:r>
    </w:p>
    <w:p>
      <w:pPr>
        <w:pStyle w:val="BodyText"/>
        <w:rPr>
          <w:b/>
        </w:rPr>
      </w:pPr>
    </w:p>
    <w:p>
      <w:pPr>
        <w:pStyle w:val="BodyText"/>
        <w:rPr>
          <w:b/>
        </w:rPr>
      </w:pPr>
    </w:p>
    <w:p>
      <w:pPr>
        <w:pStyle w:val="BodyText"/>
        <w:rPr>
          <w:b/>
        </w:rPr>
      </w:pPr>
    </w:p>
    <w:p>
      <w:pPr>
        <w:pStyle w:val="BodyText"/>
        <w:rPr>
          <w:b/>
        </w:rPr>
      </w:pPr>
    </w:p>
    <w:p>
      <w:pPr>
        <w:pStyle w:val="BodyText"/>
        <w:spacing w:before="37"/>
        <w:rPr>
          <w:b/>
        </w:rPr>
      </w:pPr>
    </w:p>
    <w:p>
      <w:pPr>
        <w:spacing w:line="249" w:lineRule="auto" w:before="0"/>
        <w:ind w:left="3391" w:right="3630" w:firstLine="0"/>
        <w:jc w:val="center"/>
        <w:rPr>
          <w:b/>
          <w:sz w:val="22"/>
        </w:rPr>
      </w:pPr>
      <w:r>
        <w:rPr>
          <w:b/>
          <w:sz w:val="22"/>
        </w:rPr>
        <w:t>Musa Kurawa, IBRAHIM </w:t>
      </w:r>
      <w:r>
        <w:rPr>
          <w:b/>
          <w:spacing w:val="-2"/>
          <w:sz w:val="22"/>
        </w:rPr>
        <w:t>MSc/MED/00002/2008-09</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34"/>
        <w:rPr>
          <w:b/>
        </w:rPr>
      </w:pPr>
    </w:p>
    <w:p>
      <w:pPr>
        <w:spacing w:line="283" w:lineRule="auto" w:before="0"/>
        <w:ind w:left="776" w:right="1013" w:firstLine="0"/>
        <w:jc w:val="center"/>
        <w:rPr>
          <w:b/>
          <w:sz w:val="22"/>
        </w:rPr>
      </w:pPr>
      <w:r>
        <w:rPr>
          <w:b/>
          <w:sz w:val="22"/>
        </w:rPr>
        <w:t>A THESIS SUBMITTED TO THE POSTGRADUATE SCHOOL OF AHMADU BELLO UNIVERSITY, ZARIA, NIGERIA.</w:t>
      </w:r>
    </w:p>
    <w:p>
      <w:pPr>
        <w:pStyle w:val="BodyText"/>
        <w:rPr>
          <w:b/>
        </w:rPr>
      </w:pPr>
    </w:p>
    <w:p>
      <w:pPr>
        <w:pStyle w:val="BodyText"/>
        <w:rPr>
          <w:b/>
        </w:rPr>
      </w:pPr>
    </w:p>
    <w:p>
      <w:pPr>
        <w:pStyle w:val="BodyText"/>
        <w:spacing w:before="137"/>
        <w:rPr>
          <w:b/>
        </w:rPr>
      </w:pPr>
    </w:p>
    <w:p>
      <w:pPr>
        <w:spacing w:line="283" w:lineRule="auto" w:before="0"/>
        <w:ind w:left="775" w:right="1013" w:firstLine="0"/>
        <w:jc w:val="center"/>
        <w:rPr>
          <w:b/>
          <w:sz w:val="22"/>
        </w:rPr>
      </w:pPr>
      <w:r>
        <w:rPr>
          <w:b/>
          <w:sz w:val="22"/>
        </w:rPr>
        <w:t>IN PARTIAL FULFILMENT OF THE REQUIREMENTS FOR THE AWARD OF THE DEGREE OF MASTER OF SCIENCE IN HUMAN PHYSIOLOGY</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35"/>
        <w:rPr>
          <w:b/>
        </w:rPr>
      </w:pPr>
    </w:p>
    <w:p>
      <w:pPr>
        <w:spacing w:line="283" w:lineRule="auto" w:before="1"/>
        <w:ind w:left="2176" w:right="2419" w:firstLine="0"/>
        <w:jc w:val="center"/>
        <w:rPr>
          <w:b/>
          <w:sz w:val="22"/>
        </w:rPr>
      </w:pPr>
      <w:r>
        <w:rPr>
          <w:b/>
          <w:sz w:val="22"/>
        </w:rPr>
        <w:t>DEPARTMENT OF HUMAN PHYSIOLOGY, AHMADU BELLO UNVERSITY, ZARIA, </w:t>
      </w:r>
      <w:r>
        <w:rPr>
          <w:b/>
          <w:spacing w:val="-2"/>
          <w:sz w:val="22"/>
        </w:rPr>
        <w:t>NIGERIA</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34"/>
        <w:rPr>
          <w:b/>
        </w:rPr>
      </w:pPr>
    </w:p>
    <w:p>
      <w:pPr>
        <w:spacing w:before="0"/>
        <w:ind w:left="0" w:right="241" w:firstLine="0"/>
        <w:jc w:val="center"/>
        <w:rPr>
          <w:b/>
          <w:sz w:val="22"/>
        </w:rPr>
      </w:pPr>
      <w:r>
        <w:rPr>
          <w:b/>
          <w:sz w:val="22"/>
        </w:rPr>
        <w:t>August,</w:t>
      </w:r>
      <w:r>
        <w:rPr>
          <w:b/>
          <w:spacing w:val="18"/>
          <w:sz w:val="22"/>
        </w:rPr>
        <w:t> </w:t>
      </w:r>
      <w:r>
        <w:rPr>
          <w:b/>
          <w:spacing w:val="-4"/>
          <w:sz w:val="22"/>
        </w:rPr>
        <w:t>2012</w:t>
      </w:r>
    </w:p>
    <w:p>
      <w:pPr>
        <w:spacing w:after="0"/>
        <w:jc w:val="center"/>
        <w:rPr>
          <w:sz w:val="22"/>
        </w:rPr>
        <w:sectPr>
          <w:type w:val="continuous"/>
          <w:pgSz w:w="12240" w:h="15840"/>
          <w:pgMar w:top="1260" w:bottom="280" w:left="1720" w:right="960"/>
        </w:sectPr>
      </w:pPr>
    </w:p>
    <w:p>
      <w:pPr>
        <w:pStyle w:val="Heading2"/>
        <w:ind w:right="241"/>
        <w:jc w:val="center"/>
      </w:pPr>
      <w:bookmarkStart w:name="_TOC_250056" w:id="1"/>
      <w:bookmarkEnd w:id="1"/>
      <w:r>
        <w:rPr>
          <w:spacing w:val="-2"/>
        </w:rPr>
        <w:t>DECLARATION</w:t>
      </w:r>
    </w:p>
    <w:p>
      <w:pPr>
        <w:pStyle w:val="BodyText"/>
        <w:rPr>
          <w:b/>
        </w:rPr>
      </w:pPr>
    </w:p>
    <w:p>
      <w:pPr>
        <w:pStyle w:val="BodyText"/>
        <w:rPr>
          <w:b/>
        </w:rPr>
      </w:pPr>
    </w:p>
    <w:p>
      <w:pPr>
        <w:pStyle w:val="BodyText"/>
        <w:spacing w:before="20"/>
        <w:rPr>
          <w:b/>
        </w:rPr>
      </w:pPr>
    </w:p>
    <w:p>
      <w:pPr>
        <w:pStyle w:val="BodyText"/>
        <w:spacing w:line="491" w:lineRule="auto"/>
        <w:ind w:left="665" w:right="897"/>
        <w:jc w:val="both"/>
      </w:pPr>
      <w:r>
        <w:rPr/>
        <w:t>I declare that the work in the thesis, entitled: “EFFECTS OF ACUTE EXPOSURE TO GENERATOR</w:t>
      </w:r>
      <w:r>
        <w:rPr>
          <w:spacing w:val="69"/>
          <w:w w:val="150"/>
        </w:rPr>
        <w:t> </w:t>
      </w:r>
      <w:r>
        <w:rPr/>
        <w:t>EXHAUST</w:t>
      </w:r>
      <w:r>
        <w:rPr>
          <w:spacing w:val="73"/>
          <w:w w:val="150"/>
        </w:rPr>
        <w:t> </w:t>
      </w:r>
      <w:r>
        <w:rPr/>
        <w:t>FUMES</w:t>
      </w:r>
      <w:r>
        <w:rPr>
          <w:spacing w:val="76"/>
          <w:w w:val="150"/>
        </w:rPr>
        <w:t> </w:t>
      </w:r>
      <w:r>
        <w:rPr/>
        <w:t>ON</w:t>
      </w:r>
      <w:r>
        <w:rPr>
          <w:spacing w:val="72"/>
          <w:w w:val="150"/>
        </w:rPr>
        <w:t> </w:t>
      </w:r>
      <w:r>
        <w:rPr/>
        <w:t>LEARNING,</w:t>
      </w:r>
      <w:r>
        <w:rPr>
          <w:spacing w:val="72"/>
          <w:w w:val="150"/>
        </w:rPr>
        <w:t> </w:t>
      </w:r>
      <w:r>
        <w:rPr/>
        <w:t>MEMORY</w:t>
      </w:r>
      <w:r>
        <w:rPr>
          <w:spacing w:val="72"/>
          <w:w w:val="150"/>
        </w:rPr>
        <w:t> </w:t>
      </w:r>
      <w:r>
        <w:rPr/>
        <w:t>AND</w:t>
      </w:r>
      <w:r>
        <w:rPr>
          <w:spacing w:val="66"/>
          <w:w w:val="150"/>
        </w:rPr>
        <w:t> </w:t>
      </w:r>
      <w:r>
        <w:rPr>
          <w:spacing w:val="-2"/>
        </w:rPr>
        <w:t>MOTOR</w:t>
      </w:r>
    </w:p>
    <w:p>
      <w:pPr>
        <w:pStyle w:val="BodyText"/>
        <w:spacing w:line="491" w:lineRule="auto"/>
        <w:ind w:left="665" w:right="907"/>
        <w:jc w:val="both"/>
      </w:pPr>
      <w:r>
        <w:rPr/>
        <w:t>COORDINATION</w:t>
      </w:r>
      <w:r>
        <w:rPr>
          <w:spacing w:val="38"/>
        </w:rPr>
        <w:t> </w:t>
      </w:r>
      <w:r>
        <w:rPr/>
        <w:t>IN</w:t>
      </w:r>
      <w:r>
        <w:rPr>
          <w:spacing w:val="33"/>
        </w:rPr>
        <w:t> </w:t>
      </w:r>
      <w:r>
        <w:rPr/>
        <w:t>ALBINO</w:t>
      </w:r>
      <w:r>
        <w:rPr>
          <w:spacing w:val="33"/>
        </w:rPr>
        <w:t> </w:t>
      </w:r>
      <w:r>
        <w:rPr/>
        <w:t>MICE”</w:t>
      </w:r>
      <w:r>
        <w:rPr>
          <w:spacing w:val="39"/>
        </w:rPr>
        <w:t> </w:t>
      </w:r>
      <w:r>
        <w:rPr/>
        <w:t>has</w:t>
      </w:r>
      <w:r>
        <w:rPr>
          <w:spacing w:val="31"/>
        </w:rPr>
        <w:t> </w:t>
      </w:r>
      <w:r>
        <w:rPr/>
        <w:t>been</w:t>
      </w:r>
      <w:r>
        <w:rPr>
          <w:spacing w:val="30"/>
        </w:rPr>
        <w:t> </w:t>
      </w:r>
      <w:r>
        <w:rPr/>
        <w:t>performed</w:t>
      </w:r>
      <w:r>
        <w:rPr>
          <w:spacing w:val="30"/>
        </w:rPr>
        <w:t> </w:t>
      </w:r>
      <w:r>
        <w:rPr/>
        <w:t>by</w:t>
      </w:r>
      <w:r>
        <w:rPr>
          <w:spacing w:val="19"/>
        </w:rPr>
        <w:t> </w:t>
      </w:r>
      <w:r>
        <w:rPr/>
        <w:t>me</w:t>
      </w:r>
      <w:r>
        <w:rPr>
          <w:spacing w:val="39"/>
        </w:rPr>
        <w:t> </w:t>
      </w:r>
      <w:r>
        <w:rPr/>
        <w:t>in</w:t>
      </w:r>
      <w:r>
        <w:rPr>
          <w:spacing w:val="30"/>
        </w:rPr>
        <w:t> </w:t>
      </w:r>
      <w:r>
        <w:rPr/>
        <w:t>the</w:t>
      </w:r>
      <w:r>
        <w:rPr>
          <w:spacing w:val="27"/>
        </w:rPr>
        <w:t> </w:t>
      </w:r>
      <w:r>
        <w:rPr/>
        <w:t>Department of Human Physiology under</w:t>
      </w:r>
      <w:r>
        <w:rPr>
          <w:spacing w:val="38"/>
        </w:rPr>
        <w:t> </w:t>
      </w:r>
      <w:r>
        <w:rPr/>
        <w:t>the supervision of Drs. A.B. Adelaiye and R.A. Magaji.</w:t>
      </w:r>
    </w:p>
    <w:p>
      <w:pPr>
        <w:pStyle w:val="BodyText"/>
      </w:pPr>
    </w:p>
    <w:p>
      <w:pPr>
        <w:pStyle w:val="BodyText"/>
        <w:spacing w:before="11"/>
      </w:pPr>
    </w:p>
    <w:p>
      <w:pPr>
        <w:pStyle w:val="BodyText"/>
        <w:spacing w:line="491" w:lineRule="auto" w:before="1"/>
        <w:ind w:left="665" w:right="903"/>
        <w:jc w:val="both"/>
      </w:pPr>
      <w:r>
        <w:rPr/>
        <w:t>The</w:t>
      </w:r>
      <w:r>
        <w:rPr>
          <w:spacing w:val="24"/>
        </w:rPr>
        <w:t> </w:t>
      </w:r>
      <w:r>
        <w:rPr/>
        <w:t>information</w:t>
      </w:r>
      <w:r>
        <w:rPr>
          <w:spacing w:val="15"/>
        </w:rPr>
        <w:t> </w:t>
      </w:r>
      <w:r>
        <w:rPr/>
        <w:t>derived</w:t>
      </w:r>
      <w:r>
        <w:rPr>
          <w:spacing w:val="26"/>
        </w:rPr>
        <w:t> </w:t>
      </w:r>
      <w:r>
        <w:rPr/>
        <w:t>from</w:t>
      </w:r>
      <w:r>
        <w:rPr>
          <w:spacing w:val="20"/>
        </w:rPr>
        <w:t> </w:t>
      </w:r>
      <w:r>
        <w:rPr/>
        <w:t>the</w:t>
      </w:r>
      <w:r>
        <w:rPr>
          <w:spacing w:val="19"/>
        </w:rPr>
        <w:t> </w:t>
      </w:r>
      <w:r>
        <w:rPr/>
        <w:t>literature</w:t>
      </w:r>
      <w:r>
        <w:rPr>
          <w:spacing w:val="19"/>
        </w:rPr>
        <w:t> </w:t>
      </w:r>
      <w:r>
        <w:rPr/>
        <w:t>has</w:t>
      </w:r>
      <w:r>
        <w:rPr>
          <w:spacing w:val="21"/>
        </w:rPr>
        <w:t> </w:t>
      </w:r>
      <w:r>
        <w:rPr/>
        <w:t>been</w:t>
      </w:r>
      <w:r>
        <w:rPr>
          <w:spacing w:val="15"/>
        </w:rPr>
        <w:t> </w:t>
      </w:r>
      <w:r>
        <w:rPr/>
        <w:t>duly acknowledged</w:t>
      </w:r>
      <w:r>
        <w:rPr>
          <w:spacing w:val="20"/>
        </w:rPr>
        <w:t> </w:t>
      </w:r>
      <w:r>
        <w:rPr/>
        <w:t>in</w:t>
      </w:r>
      <w:r>
        <w:rPr>
          <w:spacing w:val="15"/>
        </w:rPr>
        <w:t> </w:t>
      </w:r>
      <w:r>
        <w:rPr/>
        <w:t>the</w:t>
      </w:r>
      <w:r>
        <w:rPr>
          <w:spacing w:val="19"/>
        </w:rPr>
        <w:t> </w:t>
      </w:r>
      <w:r>
        <w:rPr/>
        <w:t>text</w:t>
      </w:r>
      <w:r>
        <w:rPr>
          <w:spacing w:val="18"/>
        </w:rPr>
        <w:t> </w:t>
      </w:r>
      <w:r>
        <w:rPr/>
        <w:t>and a list of references provided. No part of this thesis was previously presented for another degree or diploma at any other university.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3"/>
        <w:rPr>
          <w:sz w:val="20"/>
        </w:rPr>
      </w:pPr>
    </w:p>
    <w:tbl>
      <w:tblPr>
        <w:tblW w:w="0" w:type="auto"/>
        <w:jc w:val="left"/>
        <w:tblInd w:w="6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50"/>
        <w:gridCol w:w="2737"/>
        <w:gridCol w:w="2296"/>
      </w:tblGrid>
      <w:tr>
        <w:trPr>
          <w:trHeight w:val="294" w:hRule="atLeast"/>
        </w:trPr>
        <w:tc>
          <w:tcPr>
            <w:tcW w:w="2950" w:type="dxa"/>
          </w:tcPr>
          <w:p>
            <w:pPr>
              <w:pStyle w:val="TableParagraph"/>
              <w:spacing w:line="241" w:lineRule="exact" w:before="33"/>
              <w:ind w:left="50"/>
              <w:rPr>
                <w:sz w:val="22"/>
              </w:rPr>
            </w:pPr>
            <w:r>
              <w:rPr>
                <w:sz w:val="22"/>
              </w:rPr>
              <w:t>Musa</w:t>
            </w:r>
            <w:r>
              <w:rPr>
                <w:spacing w:val="14"/>
                <w:sz w:val="22"/>
              </w:rPr>
              <w:t> </w:t>
            </w:r>
            <w:r>
              <w:rPr>
                <w:sz w:val="22"/>
              </w:rPr>
              <w:t>Kurawa</w:t>
            </w:r>
            <w:r>
              <w:rPr>
                <w:spacing w:val="14"/>
                <w:sz w:val="22"/>
              </w:rPr>
              <w:t> </w:t>
            </w:r>
            <w:r>
              <w:rPr>
                <w:spacing w:val="-2"/>
                <w:sz w:val="22"/>
              </w:rPr>
              <w:t>IBRAHIM</w:t>
            </w:r>
          </w:p>
        </w:tc>
        <w:tc>
          <w:tcPr>
            <w:tcW w:w="2737" w:type="dxa"/>
          </w:tcPr>
          <w:p>
            <w:pPr>
              <w:pStyle w:val="TableParagraph"/>
              <w:tabs>
                <w:tab w:pos="1291" w:val="left" w:leader="none"/>
              </w:tabs>
              <w:spacing w:line="241" w:lineRule="exact" w:before="33"/>
              <w:ind w:left="0" w:right="244"/>
              <w:jc w:val="center"/>
              <w:rPr>
                <w:sz w:val="22"/>
              </w:rPr>
            </w:pPr>
            <w:r>
              <w:rPr>
                <w:w w:val="102"/>
                <w:sz w:val="22"/>
                <w:u w:val="single"/>
              </w:rPr>
              <w:t> </w:t>
            </w:r>
            <w:r>
              <w:rPr>
                <w:sz w:val="22"/>
                <w:u w:val="single"/>
              </w:rPr>
              <w:tab/>
            </w:r>
          </w:p>
        </w:tc>
        <w:tc>
          <w:tcPr>
            <w:tcW w:w="2296" w:type="dxa"/>
          </w:tcPr>
          <w:p>
            <w:pPr>
              <w:pStyle w:val="TableParagraph"/>
              <w:spacing w:line="241" w:lineRule="exact" w:before="33"/>
              <w:ind w:left="847"/>
              <w:rPr>
                <w:sz w:val="22"/>
              </w:rPr>
            </w:pPr>
            <w:r>
              <w:rPr>
                <w:w w:val="105"/>
                <w:sz w:val="22"/>
              </w:rPr>
              <w:t>25</w:t>
            </w:r>
            <w:r>
              <w:rPr>
                <w:w w:val="105"/>
                <w:sz w:val="22"/>
                <w:vertAlign w:val="superscript"/>
              </w:rPr>
              <w:t>t</w:t>
            </w:r>
            <w:r>
              <w:rPr>
                <w:w w:val="105"/>
                <w:sz w:val="22"/>
                <w:vertAlign w:val="superscript"/>
              </w:rPr>
              <w:t>h</w:t>
            </w:r>
            <w:r>
              <w:rPr>
                <w:spacing w:val="-14"/>
                <w:w w:val="105"/>
                <w:sz w:val="22"/>
                <w:vertAlign w:val="baseline"/>
              </w:rPr>
              <w:t> </w:t>
            </w:r>
            <w:r>
              <w:rPr>
                <w:w w:val="105"/>
                <w:sz w:val="22"/>
                <w:vertAlign w:val="baseline"/>
              </w:rPr>
              <w:t>July,</w:t>
            </w:r>
            <w:r>
              <w:rPr>
                <w:spacing w:val="-10"/>
                <w:w w:val="105"/>
                <w:sz w:val="22"/>
                <w:vertAlign w:val="baseline"/>
              </w:rPr>
              <w:t> </w:t>
            </w:r>
            <w:r>
              <w:rPr>
                <w:spacing w:val="-2"/>
                <w:w w:val="105"/>
                <w:sz w:val="22"/>
                <w:vertAlign w:val="baseline"/>
              </w:rPr>
              <w:t>2012.</w:t>
            </w:r>
          </w:p>
        </w:tc>
      </w:tr>
      <w:tr>
        <w:trPr>
          <w:trHeight w:val="256" w:hRule="atLeast"/>
        </w:trPr>
        <w:tc>
          <w:tcPr>
            <w:tcW w:w="2950" w:type="dxa"/>
          </w:tcPr>
          <w:p>
            <w:pPr>
              <w:pStyle w:val="TableParagraph"/>
              <w:spacing w:line="234" w:lineRule="exact" w:before="2"/>
              <w:ind w:left="50"/>
              <w:rPr>
                <w:b/>
                <w:sz w:val="22"/>
              </w:rPr>
            </w:pPr>
            <w:r>
              <w:rPr>
                <w:b/>
                <w:sz w:val="22"/>
              </w:rPr>
              <w:t>Name</w:t>
            </w:r>
            <w:r>
              <w:rPr>
                <w:b/>
                <w:spacing w:val="6"/>
                <w:sz w:val="22"/>
              </w:rPr>
              <w:t> </w:t>
            </w:r>
            <w:r>
              <w:rPr>
                <w:b/>
                <w:sz w:val="22"/>
              </w:rPr>
              <w:t>of</w:t>
            </w:r>
            <w:r>
              <w:rPr>
                <w:b/>
                <w:spacing w:val="13"/>
                <w:sz w:val="22"/>
              </w:rPr>
              <w:t> </w:t>
            </w:r>
            <w:r>
              <w:rPr>
                <w:b/>
                <w:spacing w:val="-2"/>
                <w:sz w:val="22"/>
              </w:rPr>
              <w:t>Student</w:t>
            </w:r>
          </w:p>
        </w:tc>
        <w:tc>
          <w:tcPr>
            <w:tcW w:w="2737" w:type="dxa"/>
          </w:tcPr>
          <w:p>
            <w:pPr>
              <w:pStyle w:val="TableParagraph"/>
              <w:spacing w:line="234" w:lineRule="exact" w:before="2"/>
              <w:ind w:left="0" w:right="260"/>
              <w:jc w:val="center"/>
              <w:rPr>
                <w:b/>
                <w:sz w:val="22"/>
              </w:rPr>
            </w:pPr>
            <w:r>
              <w:rPr>
                <w:b/>
                <w:spacing w:val="-2"/>
                <w:sz w:val="22"/>
              </w:rPr>
              <w:t>Signature</w:t>
            </w:r>
          </w:p>
        </w:tc>
        <w:tc>
          <w:tcPr>
            <w:tcW w:w="2296" w:type="dxa"/>
          </w:tcPr>
          <w:p>
            <w:pPr>
              <w:pStyle w:val="TableParagraph"/>
              <w:spacing w:line="234" w:lineRule="exact" w:before="2"/>
              <w:ind w:left="1188"/>
              <w:rPr>
                <w:b/>
                <w:sz w:val="22"/>
              </w:rPr>
            </w:pPr>
            <w:r>
              <w:rPr>
                <w:b/>
                <w:spacing w:val="-4"/>
                <w:sz w:val="22"/>
              </w:rPr>
              <w:t>Date</w:t>
            </w:r>
          </w:p>
        </w:tc>
      </w:tr>
    </w:tbl>
    <w:p>
      <w:pPr>
        <w:spacing w:after="0" w:line="234" w:lineRule="exact"/>
        <w:rPr>
          <w:sz w:val="22"/>
        </w:rPr>
        <w:sectPr>
          <w:footerReference w:type="default" r:id="rId5"/>
          <w:pgSz w:w="12240" w:h="15840"/>
          <w:pgMar w:header="0" w:footer="916" w:top="1260" w:bottom="1100" w:left="1720" w:right="960"/>
          <w:pgNumType w:start="2"/>
        </w:sectPr>
      </w:pPr>
    </w:p>
    <w:p>
      <w:pPr>
        <w:pStyle w:val="Heading2"/>
        <w:ind w:right="245"/>
        <w:jc w:val="center"/>
      </w:pPr>
      <w:bookmarkStart w:name="_TOC_250055" w:id="2"/>
      <w:bookmarkEnd w:id="2"/>
      <w:r>
        <w:rPr>
          <w:spacing w:val="-2"/>
        </w:rPr>
        <w:t>CERTIFICATION</w:t>
      </w:r>
    </w:p>
    <w:p>
      <w:pPr>
        <w:pStyle w:val="BodyText"/>
        <w:rPr>
          <w:b/>
        </w:rPr>
      </w:pPr>
    </w:p>
    <w:p>
      <w:pPr>
        <w:pStyle w:val="BodyText"/>
        <w:rPr>
          <w:b/>
        </w:rPr>
      </w:pPr>
    </w:p>
    <w:p>
      <w:pPr>
        <w:pStyle w:val="BodyText"/>
        <w:spacing w:before="20"/>
        <w:rPr>
          <w:b/>
        </w:rPr>
      </w:pPr>
    </w:p>
    <w:p>
      <w:pPr>
        <w:pStyle w:val="BodyText"/>
        <w:spacing w:line="491" w:lineRule="auto"/>
        <w:ind w:left="457" w:right="696"/>
        <w:jc w:val="center"/>
      </w:pPr>
      <w:r>
        <w:rPr/>
        <w:t>This thesis, titled “EFFECTS OF ACUTE EXPOSURE TO GENERATOR EXHAUST</w:t>
      </w:r>
      <w:r>
        <w:rPr>
          <w:spacing w:val="40"/>
        </w:rPr>
        <w:t> </w:t>
      </w:r>
      <w:r>
        <w:rPr/>
        <w:t>FUMES</w:t>
      </w:r>
      <w:r>
        <w:rPr>
          <w:spacing w:val="29"/>
        </w:rPr>
        <w:t> </w:t>
      </w:r>
      <w:r>
        <w:rPr/>
        <w:t>ON</w:t>
      </w:r>
      <w:r>
        <w:rPr>
          <w:spacing w:val="31"/>
        </w:rPr>
        <w:t> </w:t>
      </w:r>
      <w:r>
        <w:rPr/>
        <w:t>LEARNING,</w:t>
      </w:r>
      <w:r>
        <w:rPr>
          <w:spacing w:val="30"/>
        </w:rPr>
        <w:t> </w:t>
      </w:r>
      <w:r>
        <w:rPr/>
        <w:t>MEMORY</w:t>
      </w:r>
      <w:r>
        <w:rPr>
          <w:spacing w:val="31"/>
        </w:rPr>
        <w:t> </w:t>
      </w:r>
      <w:r>
        <w:rPr/>
        <w:t>AND</w:t>
      </w:r>
      <w:r>
        <w:rPr>
          <w:spacing w:val="31"/>
        </w:rPr>
        <w:t> </w:t>
      </w:r>
      <w:r>
        <w:rPr/>
        <w:t>MOTOR</w:t>
      </w:r>
      <w:r>
        <w:rPr>
          <w:spacing w:val="28"/>
        </w:rPr>
        <w:t> </w:t>
      </w:r>
      <w:r>
        <w:rPr/>
        <w:t>COORDINATION</w:t>
      </w:r>
      <w:r>
        <w:rPr>
          <w:spacing w:val="25"/>
        </w:rPr>
        <w:t> </w:t>
      </w:r>
      <w:r>
        <w:rPr/>
        <w:t>IN</w:t>
      </w:r>
      <w:r>
        <w:rPr>
          <w:spacing w:val="31"/>
        </w:rPr>
        <w:t> </w:t>
      </w:r>
      <w:r>
        <w:rPr>
          <w:spacing w:val="-2"/>
        </w:rPr>
        <w:t>ALBINO</w:t>
      </w:r>
    </w:p>
    <w:p>
      <w:pPr>
        <w:pStyle w:val="BodyText"/>
        <w:spacing w:line="491" w:lineRule="auto"/>
        <w:ind w:left="665" w:right="902"/>
        <w:jc w:val="both"/>
      </w:pPr>
      <w:r>
        <w:rPr/>
        <w:t>MICE” by Ibrahim, Musa Kurawa meets the regulations governing the award of the</w:t>
      </w:r>
      <w:r>
        <w:rPr>
          <w:spacing w:val="40"/>
        </w:rPr>
        <w:t> </w:t>
      </w:r>
      <w:r>
        <w:rPr/>
        <w:t>degree of Master of Science of Ahmadu Bello University, Zaria, and is approved for its contribution to knowledge and literary presentation.</w:t>
      </w:r>
    </w:p>
    <w:p>
      <w:pPr>
        <w:pStyle w:val="BodyText"/>
        <w:rPr>
          <w:sz w:val="20"/>
        </w:rPr>
      </w:pPr>
    </w:p>
    <w:p>
      <w:pPr>
        <w:pStyle w:val="BodyText"/>
        <w:rPr>
          <w:sz w:val="20"/>
        </w:rPr>
      </w:pPr>
    </w:p>
    <w:p>
      <w:pPr>
        <w:pStyle w:val="BodyText"/>
        <w:rPr>
          <w:sz w:val="20"/>
        </w:rPr>
      </w:pPr>
    </w:p>
    <w:p>
      <w:pPr>
        <w:pStyle w:val="BodyText"/>
        <w:spacing w:before="120"/>
        <w:rPr>
          <w:sz w:val="20"/>
        </w:rPr>
      </w:pPr>
    </w:p>
    <w:tbl>
      <w:tblPr>
        <w:tblW w:w="0" w:type="auto"/>
        <w:jc w:val="left"/>
        <w:tblInd w:w="6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28"/>
        <w:gridCol w:w="2252"/>
        <w:gridCol w:w="1808"/>
      </w:tblGrid>
      <w:tr>
        <w:trPr>
          <w:trHeight w:val="259" w:hRule="atLeast"/>
        </w:trPr>
        <w:tc>
          <w:tcPr>
            <w:tcW w:w="3928" w:type="dxa"/>
          </w:tcPr>
          <w:p>
            <w:pPr>
              <w:pStyle w:val="TableParagraph"/>
              <w:spacing w:line="239" w:lineRule="exact"/>
              <w:ind w:left="50"/>
              <w:rPr>
                <w:sz w:val="22"/>
              </w:rPr>
            </w:pPr>
            <w:r>
              <w:rPr>
                <w:sz w:val="22"/>
              </w:rPr>
              <w:t>Dr.</w:t>
            </w:r>
            <w:r>
              <w:rPr>
                <w:spacing w:val="10"/>
                <w:sz w:val="22"/>
              </w:rPr>
              <w:t> </w:t>
            </w:r>
            <w:r>
              <w:rPr>
                <w:sz w:val="22"/>
              </w:rPr>
              <w:t>A.</w:t>
            </w:r>
            <w:r>
              <w:rPr>
                <w:spacing w:val="17"/>
                <w:sz w:val="22"/>
              </w:rPr>
              <w:t> </w:t>
            </w:r>
            <w:r>
              <w:rPr>
                <w:sz w:val="22"/>
              </w:rPr>
              <w:t>B.</w:t>
            </w:r>
            <w:r>
              <w:rPr>
                <w:spacing w:val="6"/>
                <w:sz w:val="22"/>
              </w:rPr>
              <w:t> </w:t>
            </w:r>
            <w:r>
              <w:rPr>
                <w:sz w:val="22"/>
              </w:rPr>
              <w:t>Adelaiye,</w:t>
            </w:r>
            <w:r>
              <w:rPr>
                <w:spacing w:val="11"/>
                <w:sz w:val="22"/>
              </w:rPr>
              <w:t> </w:t>
            </w:r>
            <w:r>
              <w:rPr>
                <w:sz w:val="22"/>
              </w:rPr>
              <w:t>M.B.B.S.,</w:t>
            </w:r>
            <w:r>
              <w:rPr>
                <w:spacing w:val="6"/>
                <w:sz w:val="22"/>
              </w:rPr>
              <w:t> </w:t>
            </w:r>
            <w:r>
              <w:rPr>
                <w:spacing w:val="-4"/>
                <w:sz w:val="22"/>
              </w:rPr>
              <w:t>Ph.D.</w:t>
            </w:r>
          </w:p>
        </w:tc>
        <w:tc>
          <w:tcPr>
            <w:tcW w:w="2252" w:type="dxa"/>
          </w:tcPr>
          <w:p>
            <w:pPr>
              <w:pStyle w:val="TableParagraph"/>
              <w:tabs>
                <w:tab w:pos="1542" w:val="left" w:leader="none"/>
              </w:tabs>
              <w:spacing w:line="239" w:lineRule="exact"/>
              <w:ind w:left="135"/>
              <w:jc w:val="center"/>
              <w:rPr>
                <w:sz w:val="22"/>
              </w:rPr>
            </w:pPr>
            <w:r>
              <w:rPr>
                <w:w w:val="102"/>
                <w:sz w:val="22"/>
                <w:u w:val="single"/>
              </w:rPr>
              <w:t> </w:t>
            </w:r>
            <w:r>
              <w:rPr>
                <w:sz w:val="22"/>
                <w:u w:val="single"/>
              </w:rPr>
              <w:tab/>
            </w:r>
          </w:p>
        </w:tc>
        <w:tc>
          <w:tcPr>
            <w:tcW w:w="1808" w:type="dxa"/>
          </w:tcPr>
          <w:p>
            <w:pPr>
              <w:pStyle w:val="TableParagraph"/>
              <w:tabs>
                <w:tab w:pos="1757" w:val="left" w:leader="none"/>
              </w:tabs>
              <w:spacing w:line="239" w:lineRule="exact"/>
              <w:ind w:left="354"/>
              <w:rPr>
                <w:sz w:val="22"/>
              </w:rPr>
            </w:pPr>
            <w:r>
              <w:rPr>
                <w:w w:val="102"/>
                <w:sz w:val="22"/>
                <w:u w:val="single"/>
              </w:rPr>
              <w:t> </w:t>
            </w:r>
            <w:r>
              <w:rPr>
                <w:sz w:val="22"/>
                <w:u w:val="single"/>
              </w:rPr>
              <w:tab/>
            </w:r>
          </w:p>
        </w:tc>
      </w:tr>
      <w:tr>
        <w:trPr>
          <w:trHeight w:val="259" w:hRule="atLeast"/>
        </w:trPr>
        <w:tc>
          <w:tcPr>
            <w:tcW w:w="3928" w:type="dxa"/>
          </w:tcPr>
          <w:p>
            <w:pPr>
              <w:pStyle w:val="TableParagraph"/>
              <w:spacing w:line="234" w:lineRule="exact" w:before="5"/>
              <w:ind w:left="50"/>
              <w:rPr>
                <w:b/>
                <w:sz w:val="22"/>
              </w:rPr>
            </w:pPr>
            <w:r>
              <w:rPr>
                <w:b/>
                <w:sz w:val="22"/>
              </w:rPr>
              <w:t>Chairman,</w:t>
            </w:r>
            <w:r>
              <w:rPr>
                <w:b/>
                <w:spacing w:val="25"/>
                <w:sz w:val="22"/>
              </w:rPr>
              <w:t> </w:t>
            </w:r>
            <w:r>
              <w:rPr>
                <w:b/>
                <w:sz w:val="22"/>
              </w:rPr>
              <w:t>Supervisory</w:t>
            </w:r>
            <w:r>
              <w:rPr>
                <w:b/>
                <w:spacing w:val="14"/>
                <w:sz w:val="22"/>
              </w:rPr>
              <w:t> </w:t>
            </w:r>
            <w:r>
              <w:rPr>
                <w:b/>
                <w:spacing w:val="-2"/>
                <w:sz w:val="22"/>
              </w:rPr>
              <w:t>Committee</w:t>
            </w:r>
          </w:p>
        </w:tc>
        <w:tc>
          <w:tcPr>
            <w:tcW w:w="2252" w:type="dxa"/>
          </w:tcPr>
          <w:p>
            <w:pPr>
              <w:pStyle w:val="TableParagraph"/>
              <w:spacing w:line="234" w:lineRule="exact" w:before="5"/>
              <w:ind w:left="127"/>
              <w:jc w:val="center"/>
              <w:rPr>
                <w:b/>
                <w:sz w:val="22"/>
              </w:rPr>
            </w:pPr>
            <w:r>
              <w:rPr>
                <w:b/>
                <w:spacing w:val="-2"/>
                <w:sz w:val="22"/>
              </w:rPr>
              <w:t>(Signature)</w:t>
            </w:r>
          </w:p>
        </w:tc>
        <w:tc>
          <w:tcPr>
            <w:tcW w:w="1808" w:type="dxa"/>
          </w:tcPr>
          <w:p>
            <w:pPr>
              <w:pStyle w:val="TableParagraph"/>
              <w:spacing w:line="234" w:lineRule="exact" w:before="5"/>
              <w:ind w:left="638"/>
              <w:rPr>
                <w:b/>
                <w:sz w:val="22"/>
              </w:rPr>
            </w:pPr>
            <w:r>
              <w:rPr>
                <w:b/>
                <w:spacing w:val="-2"/>
                <w:sz w:val="22"/>
              </w:rPr>
              <w:t>(Date)</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0"/>
        <w:rPr>
          <w:sz w:val="20"/>
        </w:rPr>
      </w:pPr>
    </w:p>
    <w:tbl>
      <w:tblPr>
        <w:tblW w:w="0" w:type="auto"/>
        <w:jc w:val="left"/>
        <w:tblInd w:w="6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79"/>
        <w:gridCol w:w="2335"/>
        <w:gridCol w:w="1740"/>
      </w:tblGrid>
      <w:tr>
        <w:trPr>
          <w:trHeight w:val="256" w:hRule="atLeast"/>
        </w:trPr>
        <w:tc>
          <w:tcPr>
            <w:tcW w:w="3879" w:type="dxa"/>
          </w:tcPr>
          <w:p>
            <w:pPr>
              <w:pStyle w:val="TableParagraph"/>
              <w:spacing w:line="237" w:lineRule="exact"/>
              <w:ind w:left="50"/>
              <w:rPr>
                <w:sz w:val="22"/>
              </w:rPr>
            </w:pPr>
            <w:r>
              <w:rPr>
                <w:sz w:val="22"/>
              </w:rPr>
              <w:t>Dr.</w:t>
            </w:r>
            <w:r>
              <w:rPr>
                <w:spacing w:val="11"/>
                <w:sz w:val="22"/>
              </w:rPr>
              <w:t> </w:t>
            </w:r>
            <w:r>
              <w:rPr>
                <w:sz w:val="22"/>
              </w:rPr>
              <w:t>R.</w:t>
            </w:r>
            <w:r>
              <w:rPr>
                <w:spacing w:val="11"/>
                <w:sz w:val="22"/>
              </w:rPr>
              <w:t> </w:t>
            </w:r>
            <w:r>
              <w:rPr>
                <w:sz w:val="22"/>
              </w:rPr>
              <w:t>A.</w:t>
            </w:r>
            <w:r>
              <w:rPr>
                <w:spacing w:val="6"/>
                <w:sz w:val="22"/>
              </w:rPr>
              <w:t> </w:t>
            </w:r>
            <w:r>
              <w:rPr>
                <w:sz w:val="22"/>
              </w:rPr>
              <w:t>Magaji,</w:t>
            </w:r>
            <w:r>
              <w:rPr>
                <w:spacing w:val="11"/>
                <w:sz w:val="22"/>
              </w:rPr>
              <w:t> </w:t>
            </w:r>
            <w:r>
              <w:rPr>
                <w:sz w:val="22"/>
              </w:rPr>
              <w:t>BSc.,</w:t>
            </w:r>
            <w:r>
              <w:rPr>
                <w:spacing w:val="7"/>
                <w:sz w:val="22"/>
              </w:rPr>
              <w:t> </w:t>
            </w:r>
            <w:r>
              <w:rPr>
                <w:sz w:val="22"/>
              </w:rPr>
              <w:t>MSc.,</w:t>
            </w:r>
            <w:r>
              <w:rPr>
                <w:spacing w:val="6"/>
                <w:sz w:val="22"/>
              </w:rPr>
              <w:t> </w:t>
            </w:r>
            <w:r>
              <w:rPr>
                <w:spacing w:val="-4"/>
                <w:sz w:val="22"/>
              </w:rPr>
              <w:t>Ph.D.</w:t>
            </w:r>
          </w:p>
        </w:tc>
        <w:tc>
          <w:tcPr>
            <w:tcW w:w="2335" w:type="dxa"/>
          </w:tcPr>
          <w:p>
            <w:pPr>
              <w:pStyle w:val="TableParagraph"/>
              <w:tabs>
                <w:tab w:pos="2052" w:val="left" w:leader="none"/>
              </w:tabs>
              <w:spacing w:line="237" w:lineRule="exact"/>
              <w:ind w:left="534"/>
              <w:rPr>
                <w:sz w:val="22"/>
              </w:rPr>
            </w:pPr>
            <w:r>
              <w:rPr>
                <w:w w:val="102"/>
                <w:sz w:val="22"/>
                <w:u w:val="single"/>
              </w:rPr>
              <w:t> </w:t>
            </w:r>
            <w:r>
              <w:rPr>
                <w:sz w:val="22"/>
                <w:u w:val="single"/>
              </w:rPr>
              <w:tab/>
            </w:r>
          </w:p>
        </w:tc>
        <w:tc>
          <w:tcPr>
            <w:tcW w:w="1740" w:type="dxa"/>
          </w:tcPr>
          <w:p>
            <w:pPr>
              <w:pStyle w:val="TableParagraph"/>
              <w:tabs>
                <w:tab w:pos="1689" w:val="left" w:leader="none"/>
              </w:tabs>
              <w:spacing w:line="237" w:lineRule="exact"/>
              <w:ind w:left="282"/>
              <w:rPr>
                <w:sz w:val="22"/>
              </w:rPr>
            </w:pPr>
            <w:r>
              <w:rPr>
                <w:w w:val="102"/>
                <w:sz w:val="22"/>
                <w:u w:val="single"/>
              </w:rPr>
              <w:t> </w:t>
            </w:r>
            <w:r>
              <w:rPr>
                <w:sz w:val="22"/>
                <w:u w:val="single"/>
              </w:rPr>
              <w:tab/>
            </w:r>
          </w:p>
        </w:tc>
      </w:tr>
      <w:tr>
        <w:trPr>
          <w:trHeight w:val="256" w:hRule="atLeast"/>
        </w:trPr>
        <w:tc>
          <w:tcPr>
            <w:tcW w:w="3879" w:type="dxa"/>
          </w:tcPr>
          <w:p>
            <w:pPr>
              <w:pStyle w:val="TableParagraph"/>
              <w:spacing w:line="234" w:lineRule="exact" w:before="2"/>
              <w:ind w:left="50"/>
              <w:rPr>
                <w:b/>
                <w:sz w:val="22"/>
              </w:rPr>
            </w:pPr>
            <w:r>
              <w:rPr>
                <w:b/>
                <w:sz w:val="22"/>
              </w:rPr>
              <w:t>Member,</w:t>
            </w:r>
            <w:r>
              <w:rPr>
                <w:b/>
                <w:spacing w:val="25"/>
                <w:sz w:val="22"/>
              </w:rPr>
              <w:t> </w:t>
            </w:r>
            <w:r>
              <w:rPr>
                <w:b/>
                <w:sz w:val="22"/>
              </w:rPr>
              <w:t>Supervisory</w:t>
            </w:r>
            <w:r>
              <w:rPr>
                <w:b/>
                <w:spacing w:val="8"/>
                <w:sz w:val="22"/>
              </w:rPr>
              <w:t> </w:t>
            </w:r>
            <w:r>
              <w:rPr>
                <w:b/>
                <w:spacing w:val="-2"/>
                <w:sz w:val="22"/>
              </w:rPr>
              <w:t>Committee</w:t>
            </w:r>
          </w:p>
        </w:tc>
        <w:tc>
          <w:tcPr>
            <w:tcW w:w="2335" w:type="dxa"/>
          </w:tcPr>
          <w:p>
            <w:pPr>
              <w:pStyle w:val="TableParagraph"/>
              <w:spacing w:line="234" w:lineRule="exact" w:before="2"/>
              <w:ind w:left="802"/>
              <w:rPr>
                <w:b/>
                <w:sz w:val="22"/>
              </w:rPr>
            </w:pPr>
            <w:r>
              <w:rPr>
                <w:b/>
                <w:spacing w:val="-2"/>
                <w:sz w:val="22"/>
              </w:rPr>
              <w:t>(Signature)</w:t>
            </w:r>
          </w:p>
        </w:tc>
        <w:tc>
          <w:tcPr>
            <w:tcW w:w="1740" w:type="dxa"/>
          </w:tcPr>
          <w:p>
            <w:pPr>
              <w:pStyle w:val="TableParagraph"/>
              <w:spacing w:line="234" w:lineRule="exact" w:before="2"/>
              <w:ind w:left="603"/>
              <w:rPr>
                <w:b/>
                <w:sz w:val="22"/>
              </w:rPr>
            </w:pPr>
            <w:r>
              <w:rPr>
                <w:b/>
                <w:spacing w:val="-2"/>
                <w:sz w:val="22"/>
              </w:rPr>
              <w:t>(Date)</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1"/>
        <w:rPr>
          <w:sz w:val="20"/>
        </w:rPr>
      </w:pPr>
    </w:p>
    <w:tbl>
      <w:tblPr>
        <w:tblW w:w="0" w:type="auto"/>
        <w:jc w:val="left"/>
        <w:tblInd w:w="6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92"/>
        <w:gridCol w:w="2329"/>
        <w:gridCol w:w="1766"/>
      </w:tblGrid>
      <w:tr>
        <w:trPr>
          <w:trHeight w:val="259" w:hRule="atLeast"/>
        </w:trPr>
        <w:tc>
          <w:tcPr>
            <w:tcW w:w="3892" w:type="dxa"/>
          </w:tcPr>
          <w:p>
            <w:pPr>
              <w:pStyle w:val="TableParagraph"/>
              <w:spacing w:line="239" w:lineRule="exact"/>
              <w:ind w:left="50"/>
              <w:rPr>
                <w:sz w:val="22"/>
              </w:rPr>
            </w:pPr>
            <w:r>
              <w:rPr>
                <w:sz w:val="22"/>
              </w:rPr>
              <w:t>Dr.</w:t>
            </w:r>
            <w:r>
              <w:rPr>
                <w:spacing w:val="12"/>
                <w:sz w:val="22"/>
              </w:rPr>
              <w:t> </w:t>
            </w:r>
            <w:r>
              <w:rPr>
                <w:sz w:val="22"/>
              </w:rPr>
              <w:t>Yusuf</w:t>
            </w:r>
            <w:r>
              <w:rPr>
                <w:spacing w:val="9"/>
                <w:sz w:val="22"/>
              </w:rPr>
              <w:t> </w:t>
            </w:r>
            <w:r>
              <w:rPr>
                <w:sz w:val="22"/>
              </w:rPr>
              <w:t>Tanko,</w:t>
            </w:r>
            <w:r>
              <w:rPr>
                <w:spacing w:val="12"/>
                <w:sz w:val="22"/>
              </w:rPr>
              <w:t> </w:t>
            </w:r>
            <w:r>
              <w:rPr>
                <w:sz w:val="22"/>
              </w:rPr>
              <w:t>BSc.,</w:t>
            </w:r>
            <w:r>
              <w:rPr>
                <w:spacing w:val="9"/>
                <w:sz w:val="22"/>
              </w:rPr>
              <w:t> </w:t>
            </w:r>
            <w:r>
              <w:rPr>
                <w:sz w:val="22"/>
              </w:rPr>
              <w:t>MSc.,</w:t>
            </w:r>
            <w:r>
              <w:rPr>
                <w:spacing w:val="12"/>
                <w:sz w:val="22"/>
              </w:rPr>
              <w:t> </w:t>
            </w:r>
            <w:r>
              <w:rPr>
                <w:spacing w:val="-4"/>
                <w:sz w:val="22"/>
              </w:rPr>
              <w:t>Ph.D.</w:t>
            </w:r>
          </w:p>
        </w:tc>
        <w:tc>
          <w:tcPr>
            <w:tcW w:w="2329" w:type="dxa"/>
          </w:tcPr>
          <w:p>
            <w:pPr>
              <w:pStyle w:val="TableParagraph"/>
              <w:tabs>
                <w:tab w:pos="2014" w:val="left" w:leader="none"/>
              </w:tabs>
              <w:spacing w:line="239" w:lineRule="exact"/>
              <w:ind w:left="497"/>
              <w:rPr>
                <w:sz w:val="22"/>
              </w:rPr>
            </w:pPr>
            <w:r>
              <w:rPr>
                <w:w w:val="102"/>
                <w:sz w:val="22"/>
                <w:u w:val="single"/>
              </w:rPr>
              <w:t> </w:t>
            </w:r>
            <w:r>
              <w:rPr>
                <w:sz w:val="22"/>
                <w:u w:val="single"/>
              </w:rPr>
              <w:tab/>
            </w:r>
          </w:p>
        </w:tc>
        <w:tc>
          <w:tcPr>
            <w:tcW w:w="1766" w:type="dxa"/>
          </w:tcPr>
          <w:p>
            <w:pPr>
              <w:pStyle w:val="TableParagraph"/>
              <w:tabs>
                <w:tab w:pos="1716" w:val="left" w:leader="none"/>
              </w:tabs>
              <w:spacing w:line="239" w:lineRule="exact"/>
              <w:ind w:left="313"/>
              <w:rPr>
                <w:sz w:val="22"/>
              </w:rPr>
            </w:pPr>
            <w:r>
              <w:rPr>
                <w:w w:val="102"/>
                <w:sz w:val="22"/>
                <w:u w:val="single"/>
              </w:rPr>
              <w:t> </w:t>
            </w:r>
            <w:r>
              <w:rPr>
                <w:sz w:val="22"/>
                <w:u w:val="single"/>
              </w:rPr>
              <w:tab/>
            </w:r>
          </w:p>
        </w:tc>
      </w:tr>
      <w:tr>
        <w:trPr>
          <w:trHeight w:val="520" w:hRule="atLeast"/>
        </w:trPr>
        <w:tc>
          <w:tcPr>
            <w:tcW w:w="3892" w:type="dxa"/>
          </w:tcPr>
          <w:p>
            <w:pPr>
              <w:pStyle w:val="TableParagraph"/>
              <w:spacing w:before="5"/>
              <w:ind w:left="50"/>
              <w:rPr>
                <w:b/>
                <w:sz w:val="22"/>
              </w:rPr>
            </w:pPr>
            <w:r>
              <w:rPr>
                <w:b/>
                <w:sz w:val="22"/>
              </w:rPr>
              <w:t>The</w:t>
            </w:r>
            <w:r>
              <w:rPr>
                <w:b/>
                <w:spacing w:val="7"/>
                <w:sz w:val="22"/>
              </w:rPr>
              <w:t> </w:t>
            </w:r>
            <w:r>
              <w:rPr>
                <w:b/>
                <w:spacing w:val="-2"/>
                <w:sz w:val="22"/>
              </w:rPr>
              <w:t>Head,</w:t>
            </w:r>
          </w:p>
          <w:p>
            <w:pPr>
              <w:pStyle w:val="TableParagraph"/>
              <w:spacing w:line="241" w:lineRule="exact" w:before="1"/>
              <w:ind w:left="50"/>
              <w:rPr>
                <w:b/>
                <w:sz w:val="22"/>
              </w:rPr>
            </w:pPr>
            <w:r>
              <w:rPr>
                <w:b/>
                <w:sz w:val="22"/>
              </w:rPr>
              <w:t>Department</w:t>
            </w:r>
            <w:r>
              <w:rPr>
                <w:b/>
                <w:spacing w:val="10"/>
                <w:sz w:val="22"/>
              </w:rPr>
              <w:t> </w:t>
            </w:r>
            <w:r>
              <w:rPr>
                <w:b/>
                <w:sz w:val="22"/>
              </w:rPr>
              <w:t>of</w:t>
            </w:r>
            <w:r>
              <w:rPr>
                <w:b/>
                <w:spacing w:val="23"/>
                <w:sz w:val="22"/>
              </w:rPr>
              <w:t> </w:t>
            </w:r>
            <w:r>
              <w:rPr>
                <w:b/>
                <w:sz w:val="22"/>
              </w:rPr>
              <w:t>Human</w:t>
            </w:r>
            <w:r>
              <w:rPr>
                <w:b/>
                <w:spacing w:val="8"/>
                <w:sz w:val="22"/>
              </w:rPr>
              <w:t> </w:t>
            </w:r>
            <w:r>
              <w:rPr>
                <w:b/>
                <w:spacing w:val="-2"/>
                <w:sz w:val="22"/>
              </w:rPr>
              <w:t>Physiology,</w:t>
            </w:r>
          </w:p>
        </w:tc>
        <w:tc>
          <w:tcPr>
            <w:tcW w:w="2329" w:type="dxa"/>
          </w:tcPr>
          <w:p>
            <w:pPr>
              <w:pStyle w:val="TableParagraph"/>
              <w:spacing w:before="5"/>
              <w:ind w:left="790"/>
              <w:rPr>
                <w:b/>
                <w:sz w:val="22"/>
              </w:rPr>
            </w:pPr>
            <w:r>
              <w:rPr>
                <w:b/>
                <w:spacing w:val="-2"/>
                <w:sz w:val="22"/>
              </w:rPr>
              <w:t>(Signature)</w:t>
            </w:r>
          </w:p>
        </w:tc>
        <w:tc>
          <w:tcPr>
            <w:tcW w:w="1766" w:type="dxa"/>
          </w:tcPr>
          <w:p>
            <w:pPr>
              <w:pStyle w:val="TableParagraph"/>
              <w:spacing w:before="5"/>
              <w:ind w:left="597"/>
              <w:rPr>
                <w:b/>
                <w:sz w:val="22"/>
              </w:rPr>
            </w:pPr>
            <w:r>
              <w:rPr>
                <w:b/>
                <w:spacing w:val="-2"/>
                <w:sz w:val="22"/>
              </w:rPr>
              <w:t>(Date)</w:t>
            </w:r>
          </w:p>
        </w:tc>
      </w:tr>
      <w:tr>
        <w:trPr>
          <w:trHeight w:val="511" w:hRule="atLeast"/>
        </w:trPr>
        <w:tc>
          <w:tcPr>
            <w:tcW w:w="3892" w:type="dxa"/>
          </w:tcPr>
          <w:p>
            <w:pPr>
              <w:pStyle w:val="TableParagraph"/>
              <w:spacing w:before="2"/>
              <w:ind w:left="50"/>
              <w:rPr>
                <w:b/>
                <w:sz w:val="22"/>
              </w:rPr>
            </w:pPr>
            <w:r>
              <w:rPr>
                <w:b/>
                <w:sz w:val="22"/>
              </w:rPr>
              <w:t>Faculty</w:t>
            </w:r>
            <w:r>
              <w:rPr>
                <w:b/>
                <w:spacing w:val="8"/>
                <w:sz w:val="22"/>
              </w:rPr>
              <w:t> </w:t>
            </w:r>
            <w:r>
              <w:rPr>
                <w:b/>
                <w:sz w:val="22"/>
              </w:rPr>
              <w:t>of</w:t>
            </w:r>
            <w:r>
              <w:rPr>
                <w:b/>
                <w:spacing w:val="13"/>
                <w:sz w:val="22"/>
              </w:rPr>
              <w:t> </w:t>
            </w:r>
            <w:r>
              <w:rPr>
                <w:b/>
                <w:spacing w:val="-2"/>
                <w:sz w:val="22"/>
              </w:rPr>
              <w:t>Medicine,</w:t>
            </w:r>
          </w:p>
          <w:p>
            <w:pPr>
              <w:pStyle w:val="TableParagraph"/>
              <w:spacing w:line="234" w:lineRule="exact" w:before="2"/>
              <w:ind w:left="50"/>
              <w:rPr>
                <w:b/>
                <w:sz w:val="22"/>
              </w:rPr>
            </w:pPr>
            <w:r>
              <w:rPr>
                <w:b/>
                <w:sz w:val="22"/>
              </w:rPr>
              <w:t>Ahmadu</w:t>
            </w:r>
            <w:r>
              <w:rPr>
                <w:b/>
                <w:spacing w:val="13"/>
                <w:sz w:val="22"/>
              </w:rPr>
              <w:t> </w:t>
            </w:r>
            <w:r>
              <w:rPr>
                <w:b/>
                <w:sz w:val="22"/>
              </w:rPr>
              <w:t>Bello</w:t>
            </w:r>
            <w:r>
              <w:rPr>
                <w:b/>
                <w:spacing w:val="17"/>
                <w:sz w:val="22"/>
              </w:rPr>
              <w:t> </w:t>
            </w:r>
            <w:r>
              <w:rPr>
                <w:b/>
                <w:sz w:val="22"/>
              </w:rPr>
              <w:t>University,</w:t>
            </w:r>
            <w:r>
              <w:rPr>
                <w:b/>
                <w:spacing w:val="15"/>
                <w:sz w:val="22"/>
              </w:rPr>
              <w:t> </w:t>
            </w:r>
            <w:r>
              <w:rPr>
                <w:b/>
                <w:spacing w:val="-4"/>
                <w:sz w:val="22"/>
              </w:rPr>
              <w:t>Zaria</w:t>
            </w:r>
          </w:p>
        </w:tc>
        <w:tc>
          <w:tcPr>
            <w:tcW w:w="2329" w:type="dxa"/>
          </w:tcPr>
          <w:p>
            <w:pPr>
              <w:pStyle w:val="TableParagraph"/>
              <w:ind w:left="0"/>
              <w:rPr>
                <w:sz w:val="22"/>
              </w:rPr>
            </w:pPr>
          </w:p>
        </w:tc>
        <w:tc>
          <w:tcPr>
            <w:tcW w:w="1766" w:type="dxa"/>
          </w:tcPr>
          <w:p>
            <w:pPr>
              <w:pStyle w:val="TableParagraph"/>
              <w:ind w:left="0"/>
              <w:rPr>
                <w:sz w:val="22"/>
              </w:rPr>
            </w:pP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6"/>
        <w:rPr>
          <w:sz w:val="20"/>
        </w:rPr>
      </w:pPr>
    </w:p>
    <w:tbl>
      <w:tblPr>
        <w:tblW w:w="0" w:type="auto"/>
        <w:jc w:val="left"/>
        <w:tblInd w:w="6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50"/>
        <w:gridCol w:w="2339"/>
        <w:gridCol w:w="1793"/>
      </w:tblGrid>
      <w:tr>
        <w:trPr>
          <w:trHeight w:val="254" w:hRule="atLeast"/>
        </w:trPr>
        <w:tc>
          <w:tcPr>
            <w:tcW w:w="3950" w:type="dxa"/>
          </w:tcPr>
          <w:p>
            <w:pPr>
              <w:pStyle w:val="TableParagraph"/>
              <w:spacing w:line="235" w:lineRule="exact"/>
              <w:ind w:left="50"/>
              <w:rPr>
                <w:sz w:val="22"/>
              </w:rPr>
            </w:pPr>
            <w:r>
              <w:rPr>
                <w:sz w:val="22"/>
              </w:rPr>
              <w:t>Prof.</w:t>
            </w:r>
            <w:r>
              <w:rPr>
                <w:spacing w:val="10"/>
                <w:sz w:val="22"/>
              </w:rPr>
              <w:t> </w:t>
            </w:r>
            <w:r>
              <w:rPr>
                <w:sz w:val="22"/>
              </w:rPr>
              <w:t>A.</w:t>
            </w:r>
            <w:r>
              <w:rPr>
                <w:spacing w:val="11"/>
                <w:sz w:val="22"/>
              </w:rPr>
              <w:t> </w:t>
            </w:r>
            <w:r>
              <w:rPr>
                <w:sz w:val="22"/>
              </w:rPr>
              <w:t>A.</w:t>
            </w:r>
            <w:r>
              <w:rPr>
                <w:spacing w:val="6"/>
                <w:sz w:val="22"/>
              </w:rPr>
              <w:t> </w:t>
            </w:r>
            <w:r>
              <w:rPr>
                <w:sz w:val="22"/>
              </w:rPr>
              <w:t>Joshua,</w:t>
            </w:r>
            <w:r>
              <w:rPr>
                <w:spacing w:val="12"/>
                <w:sz w:val="22"/>
              </w:rPr>
              <w:t> </w:t>
            </w:r>
            <w:r>
              <w:rPr>
                <w:sz w:val="22"/>
              </w:rPr>
              <w:t>B.A.,</w:t>
            </w:r>
            <w:r>
              <w:rPr>
                <w:spacing w:val="6"/>
                <w:sz w:val="22"/>
              </w:rPr>
              <w:t> </w:t>
            </w:r>
            <w:r>
              <w:rPr>
                <w:sz w:val="22"/>
              </w:rPr>
              <w:t>M.A.,</w:t>
            </w:r>
            <w:r>
              <w:rPr>
                <w:spacing w:val="12"/>
                <w:sz w:val="22"/>
              </w:rPr>
              <w:t> </w:t>
            </w:r>
            <w:r>
              <w:rPr>
                <w:spacing w:val="-4"/>
                <w:sz w:val="22"/>
              </w:rPr>
              <w:t>Ph.D.</w:t>
            </w:r>
          </w:p>
        </w:tc>
        <w:tc>
          <w:tcPr>
            <w:tcW w:w="2339" w:type="dxa"/>
          </w:tcPr>
          <w:p>
            <w:pPr>
              <w:pStyle w:val="TableParagraph"/>
              <w:tabs>
                <w:tab w:pos="1998" w:val="left" w:leader="none"/>
              </w:tabs>
              <w:spacing w:line="235" w:lineRule="exact"/>
              <w:ind w:left="480"/>
              <w:rPr>
                <w:sz w:val="22"/>
              </w:rPr>
            </w:pPr>
            <w:r>
              <w:rPr>
                <w:w w:val="102"/>
                <w:sz w:val="22"/>
                <w:u w:val="single"/>
              </w:rPr>
              <w:t> </w:t>
            </w:r>
            <w:r>
              <w:rPr>
                <w:sz w:val="22"/>
                <w:u w:val="single"/>
              </w:rPr>
              <w:tab/>
            </w:r>
          </w:p>
        </w:tc>
        <w:tc>
          <w:tcPr>
            <w:tcW w:w="1793" w:type="dxa"/>
          </w:tcPr>
          <w:p>
            <w:pPr>
              <w:pStyle w:val="TableParagraph"/>
              <w:tabs>
                <w:tab w:pos="1742" w:val="left" w:leader="none"/>
              </w:tabs>
              <w:spacing w:line="235" w:lineRule="exact"/>
              <w:ind w:left="340"/>
              <w:rPr>
                <w:sz w:val="22"/>
              </w:rPr>
            </w:pPr>
            <w:r>
              <w:rPr>
                <w:w w:val="102"/>
                <w:sz w:val="22"/>
                <w:u w:val="single"/>
              </w:rPr>
              <w:t> </w:t>
            </w:r>
            <w:r>
              <w:rPr>
                <w:sz w:val="22"/>
                <w:u w:val="single"/>
              </w:rPr>
              <w:tab/>
            </w:r>
          </w:p>
        </w:tc>
      </w:tr>
      <w:tr>
        <w:trPr>
          <w:trHeight w:val="254" w:hRule="atLeast"/>
        </w:trPr>
        <w:tc>
          <w:tcPr>
            <w:tcW w:w="3950" w:type="dxa"/>
          </w:tcPr>
          <w:p>
            <w:pPr>
              <w:pStyle w:val="TableParagraph"/>
              <w:spacing w:line="234" w:lineRule="exact"/>
              <w:ind w:left="50"/>
              <w:rPr>
                <w:b/>
                <w:sz w:val="22"/>
              </w:rPr>
            </w:pPr>
            <w:r>
              <w:rPr>
                <w:b/>
                <w:sz w:val="22"/>
              </w:rPr>
              <w:t>Dean,</w:t>
            </w:r>
            <w:r>
              <w:rPr>
                <w:b/>
                <w:spacing w:val="18"/>
                <w:sz w:val="22"/>
              </w:rPr>
              <w:t> </w:t>
            </w:r>
            <w:r>
              <w:rPr>
                <w:b/>
                <w:sz w:val="22"/>
              </w:rPr>
              <w:t>Postgraduate</w:t>
            </w:r>
            <w:r>
              <w:rPr>
                <w:b/>
                <w:spacing w:val="18"/>
                <w:sz w:val="22"/>
              </w:rPr>
              <w:t> </w:t>
            </w:r>
            <w:r>
              <w:rPr>
                <w:b/>
                <w:spacing w:val="-2"/>
                <w:sz w:val="22"/>
              </w:rPr>
              <w:t>School</w:t>
            </w:r>
          </w:p>
        </w:tc>
        <w:tc>
          <w:tcPr>
            <w:tcW w:w="2339" w:type="dxa"/>
          </w:tcPr>
          <w:p>
            <w:pPr>
              <w:pStyle w:val="TableParagraph"/>
              <w:spacing w:line="234" w:lineRule="exact"/>
              <w:ind w:left="784"/>
              <w:rPr>
                <w:b/>
                <w:sz w:val="22"/>
              </w:rPr>
            </w:pPr>
            <w:r>
              <w:rPr>
                <w:b/>
                <w:spacing w:val="-2"/>
                <w:sz w:val="22"/>
              </w:rPr>
              <w:t>(Signature)</w:t>
            </w:r>
          </w:p>
        </w:tc>
        <w:tc>
          <w:tcPr>
            <w:tcW w:w="1793" w:type="dxa"/>
          </w:tcPr>
          <w:p>
            <w:pPr>
              <w:pStyle w:val="TableParagraph"/>
              <w:spacing w:line="234" w:lineRule="exact"/>
              <w:ind w:left="529"/>
              <w:rPr>
                <w:b/>
                <w:sz w:val="22"/>
              </w:rPr>
            </w:pPr>
            <w:r>
              <w:rPr>
                <w:b/>
                <w:spacing w:val="-2"/>
                <w:sz w:val="22"/>
              </w:rPr>
              <w:t>(Date)</w:t>
            </w:r>
          </w:p>
        </w:tc>
      </w:tr>
    </w:tbl>
    <w:p>
      <w:pPr>
        <w:spacing w:after="0" w:line="234" w:lineRule="exact"/>
        <w:rPr>
          <w:sz w:val="22"/>
        </w:rPr>
        <w:sectPr>
          <w:pgSz w:w="12240" w:h="15840"/>
          <w:pgMar w:header="0" w:footer="916" w:top="1260" w:bottom="1100" w:left="1720" w:right="960"/>
        </w:sectPr>
      </w:pPr>
    </w:p>
    <w:p>
      <w:pPr>
        <w:pStyle w:val="Heading2"/>
        <w:ind w:right="235"/>
        <w:jc w:val="center"/>
      </w:pPr>
      <w:bookmarkStart w:name="_TOC_250054" w:id="3"/>
      <w:bookmarkEnd w:id="3"/>
      <w:r>
        <w:rPr>
          <w:spacing w:val="-2"/>
        </w:rPr>
        <w:t>DEDICATION</w:t>
      </w:r>
    </w:p>
    <w:p>
      <w:pPr>
        <w:pStyle w:val="BodyText"/>
        <w:rPr>
          <w:b/>
        </w:rPr>
      </w:pPr>
    </w:p>
    <w:p>
      <w:pPr>
        <w:pStyle w:val="BodyText"/>
        <w:rPr>
          <w:b/>
        </w:rPr>
      </w:pPr>
    </w:p>
    <w:p>
      <w:pPr>
        <w:pStyle w:val="BodyText"/>
        <w:rPr>
          <w:b/>
        </w:rPr>
      </w:pPr>
    </w:p>
    <w:p>
      <w:pPr>
        <w:pStyle w:val="BodyText"/>
        <w:spacing w:before="141"/>
        <w:rPr>
          <w:b/>
        </w:rPr>
      </w:pPr>
    </w:p>
    <w:p>
      <w:pPr>
        <w:pStyle w:val="BodyText"/>
        <w:ind w:left="665"/>
      </w:pPr>
      <w:r>
        <w:rPr/>
        <w:t>To</w:t>
      </w:r>
      <w:r>
        <w:rPr>
          <w:spacing w:val="12"/>
        </w:rPr>
        <w:t> </w:t>
      </w:r>
      <w:r>
        <w:rPr/>
        <w:t>my</w:t>
      </w:r>
      <w:r>
        <w:rPr>
          <w:spacing w:val="-3"/>
        </w:rPr>
        <w:t> </w:t>
      </w:r>
      <w:r>
        <w:rPr/>
        <w:t>beloved</w:t>
      </w:r>
      <w:r>
        <w:rPr>
          <w:spacing w:val="8"/>
        </w:rPr>
        <w:t> </w:t>
      </w:r>
      <w:r>
        <w:rPr/>
        <w:t>parents</w:t>
      </w:r>
      <w:r>
        <w:rPr>
          <w:spacing w:val="10"/>
        </w:rPr>
        <w:t> </w:t>
      </w:r>
      <w:r>
        <w:rPr/>
        <w:t>and</w:t>
      </w:r>
      <w:r>
        <w:rPr>
          <w:spacing w:val="18"/>
        </w:rPr>
        <w:t> </w:t>
      </w:r>
      <w:r>
        <w:rPr/>
        <w:t>dear</w:t>
      </w:r>
      <w:r>
        <w:rPr>
          <w:spacing w:val="8"/>
        </w:rPr>
        <w:t> </w:t>
      </w:r>
      <w:r>
        <w:rPr>
          <w:spacing w:val="-4"/>
        </w:rPr>
        <w:t>wife.</w:t>
      </w:r>
    </w:p>
    <w:p>
      <w:pPr>
        <w:spacing w:after="0"/>
        <w:sectPr>
          <w:pgSz w:w="12240" w:h="15840"/>
          <w:pgMar w:header="0" w:footer="916" w:top="1260" w:bottom="1100" w:left="1720" w:right="960"/>
        </w:sectPr>
      </w:pPr>
    </w:p>
    <w:p>
      <w:pPr>
        <w:pStyle w:val="Heading2"/>
        <w:ind w:right="238"/>
        <w:jc w:val="center"/>
      </w:pPr>
      <w:r>
        <w:rPr>
          <w:spacing w:val="-2"/>
        </w:rPr>
        <w:t>ACKNOWLEDGEMENT</w:t>
      </w:r>
    </w:p>
    <w:p>
      <w:pPr>
        <w:pStyle w:val="BodyText"/>
        <w:rPr>
          <w:b/>
        </w:rPr>
      </w:pPr>
    </w:p>
    <w:p>
      <w:pPr>
        <w:pStyle w:val="BodyText"/>
        <w:rPr>
          <w:b/>
        </w:rPr>
      </w:pPr>
    </w:p>
    <w:p>
      <w:pPr>
        <w:pStyle w:val="BodyText"/>
        <w:spacing w:before="20"/>
        <w:rPr>
          <w:b/>
        </w:rPr>
      </w:pPr>
    </w:p>
    <w:p>
      <w:pPr>
        <w:pStyle w:val="BodyText"/>
        <w:spacing w:line="491" w:lineRule="auto"/>
        <w:ind w:left="665" w:right="895"/>
        <w:jc w:val="both"/>
      </w:pPr>
      <w:r>
        <w:rPr/>
        <w:t>To</w:t>
      </w:r>
      <w:r>
        <w:rPr>
          <w:spacing w:val="37"/>
        </w:rPr>
        <w:t> </w:t>
      </w:r>
      <w:r>
        <w:rPr/>
        <w:t>ALLAH,</w:t>
      </w:r>
      <w:r>
        <w:rPr>
          <w:spacing w:val="31"/>
        </w:rPr>
        <w:t> </w:t>
      </w:r>
      <w:r>
        <w:rPr/>
        <w:t>the</w:t>
      </w:r>
      <w:r>
        <w:rPr>
          <w:spacing w:val="25"/>
        </w:rPr>
        <w:t> </w:t>
      </w:r>
      <w:r>
        <w:rPr/>
        <w:t>Almighty</w:t>
      </w:r>
      <w:r>
        <w:rPr>
          <w:spacing w:val="27"/>
        </w:rPr>
        <w:t> </w:t>
      </w:r>
      <w:r>
        <w:rPr/>
        <w:t>is</w:t>
      </w:r>
      <w:r>
        <w:rPr>
          <w:spacing w:val="28"/>
        </w:rPr>
        <w:t> </w:t>
      </w:r>
      <w:r>
        <w:rPr/>
        <w:t>the</w:t>
      </w:r>
      <w:r>
        <w:rPr>
          <w:spacing w:val="36"/>
        </w:rPr>
        <w:t> </w:t>
      </w:r>
      <w:r>
        <w:rPr/>
        <w:t>glory,</w:t>
      </w:r>
      <w:r>
        <w:rPr>
          <w:spacing w:val="31"/>
        </w:rPr>
        <w:t> </w:t>
      </w:r>
      <w:r>
        <w:rPr/>
        <w:t>who</w:t>
      </w:r>
      <w:r>
        <w:rPr>
          <w:spacing w:val="37"/>
        </w:rPr>
        <w:t> </w:t>
      </w:r>
      <w:r>
        <w:rPr/>
        <w:t>taught</w:t>
      </w:r>
      <w:r>
        <w:rPr>
          <w:spacing w:val="29"/>
        </w:rPr>
        <w:t> </w:t>
      </w:r>
      <w:r>
        <w:rPr/>
        <w:t>man</w:t>
      </w:r>
      <w:r>
        <w:rPr>
          <w:spacing w:val="27"/>
        </w:rPr>
        <w:t> </w:t>
      </w:r>
      <w:r>
        <w:rPr/>
        <w:t>that</w:t>
      </w:r>
      <w:r>
        <w:rPr>
          <w:spacing w:val="29"/>
        </w:rPr>
        <w:t> </w:t>
      </w:r>
      <w:r>
        <w:rPr/>
        <w:t>which</w:t>
      </w:r>
      <w:r>
        <w:rPr>
          <w:spacing w:val="27"/>
        </w:rPr>
        <w:t> </w:t>
      </w:r>
      <w:r>
        <w:rPr/>
        <w:t>he</w:t>
      </w:r>
      <w:r>
        <w:rPr>
          <w:spacing w:val="31"/>
        </w:rPr>
        <w:t> </w:t>
      </w:r>
      <w:r>
        <w:rPr/>
        <w:t>knew</w:t>
      </w:r>
      <w:r>
        <w:rPr>
          <w:spacing w:val="35"/>
        </w:rPr>
        <w:t> </w:t>
      </w:r>
      <w:r>
        <w:rPr/>
        <w:t>not,</w:t>
      </w:r>
      <w:r>
        <w:rPr>
          <w:spacing w:val="31"/>
        </w:rPr>
        <w:t> </w:t>
      </w:r>
      <w:r>
        <w:rPr/>
        <w:t>may His peace and blessings be upon His noble prophet Muhammad (S.A.W), his household, companions, and all those who follow his righteous path, (Ameen).</w:t>
      </w:r>
    </w:p>
    <w:p>
      <w:pPr>
        <w:pStyle w:val="BodyText"/>
      </w:pPr>
    </w:p>
    <w:p>
      <w:pPr>
        <w:pStyle w:val="BodyText"/>
        <w:spacing w:before="12"/>
      </w:pPr>
    </w:p>
    <w:p>
      <w:pPr>
        <w:pStyle w:val="BodyText"/>
        <w:spacing w:line="491" w:lineRule="auto"/>
        <w:ind w:left="665" w:right="893"/>
        <w:jc w:val="both"/>
      </w:pPr>
      <w:r>
        <w:rPr/>
        <w:t>My parents</w:t>
      </w:r>
      <w:r>
        <w:rPr>
          <w:spacing w:val="17"/>
        </w:rPr>
        <w:t> </w:t>
      </w:r>
      <w:r>
        <w:rPr/>
        <w:t>will always</w:t>
      </w:r>
      <w:r>
        <w:rPr>
          <w:spacing w:val="17"/>
        </w:rPr>
        <w:t> </w:t>
      </w:r>
      <w:r>
        <w:rPr/>
        <w:t>be</w:t>
      </w:r>
      <w:r>
        <w:rPr>
          <w:spacing w:val="19"/>
        </w:rPr>
        <w:t> </w:t>
      </w:r>
      <w:r>
        <w:rPr/>
        <w:t>the</w:t>
      </w:r>
      <w:r>
        <w:rPr>
          <w:spacing w:val="19"/>
        </w:rPr>
        <w:t> </w:t>
      </w:r>
      <w:r>
        <w:rPr/>
        <w:t>first</w:t>
      </w:r>
      <w:r>
        <w:rPr>
          <w:spacing w:val="18"/>
        </w:rPr>
        <w:t> </w:t>
      </w:r>
      <w:r>
        <w:rPr/>
        <w:t>to</w:t>
      </w:r>
      <w:r>
        <w:rPr>
          <w:spacing w:val="20"/>
        </w:rPr>
        <w:t> </w:t>
      </w:r>
      <w:r>
        <w:rPr/>
        <w:t>receive</w:t>
      </w:r>
      <w:r>
        <w:rPr>
          <w:spacing w:val="19"/>
        </w:rPr>
        <w:t> </w:t>
      </w:r>
      <w:r>
        <w:rPr/>
        <w:t>my appreciation in all</w:t>
      </w:r>
      <w:r>
        <w:rPr>
          <w:spacing w:val="18"/>
        </w:rPr>
        <w:t> </w:t>
      </w:r>
      <w:r>
        <w:rPr/>
        <w:t>that</w:t>
      </w:r>
      <w:r>
        <w:rPr>
          <w:spacing w:val="18"/>
        </w:rPr>
        <w:t> </w:t>
      </w:r>
      <w:r>
        <w:rPr/>
        <w:t>I</w:t>
      </w:r>
      <w:r>
        <w:rPr>
          <w:spacing w:val="20"/>
        </w:rPr>
        <w:t> </w:t>
      </w:r>
      <w:r>
        <w:rPr/>
        <w:t>accomplished in</w:t>
      </w:r>
      <w:r>
        <w:rPr>
          <w:spacing w:val="40"/>
        </w:rPr>
        <w:t> </w:t>
      </w:r>
      <w:r>
        <w:rPr/>
        <w:t>life.</w:t>
      </w:r>
      <w:r>
        <w:rPr>
          <w:spacing w:val="40"/>
        </w:rPr>
        <w:t> </w:t>
      </w:r>
      <w:r>
        <w:rPr/>
        <w:t>My</w:t>
      </w:r>
      <w:r>
        <w:rPr>
          <w:spacing w:val="33"/>
        </w:rPr>
        <w:t> </w:t>
      </w:r>
      <w:r>
        <w:rPr/>
        <w:t>father</w:t>
      </w:r>
      <w:r>
        <w:rPr>
          <w:spacing w:val="40"/>
        </w:rPr>
        <w:t> </w:t>
      </w:r>
      <w:r>
        <w:rPr/>
        <w:t>Alhaji</w:t>
      </w:r>
      <w:r>
        <w:rPr>
          <w:spacing w:val="40"/>
        </w:rPr>
        <w:t> </w:t>
      </w:r>
      <w:r>
        <w:rPr/>
        <w:t>Ibrahim</w:t>
      </w:r>
      <w:r>
        <w:rPr>
          <w:spacing w:val="40"/>
        </w:rPr>
        <w:t> </w:t>
      </w:r>
      <w:r>
        <w:rPr/>
        <w:t>Bello,</w:t>
      </w:r>
      <w:r>
        <w:rPr>
          <w:spacing w:val="40"/>
        </w:rPr>
        <w:t> </w:t>
      </w:r>
      <w:r>
        <w:rPr/>
        <w:t>my</w:t>
      </w:r>
      <w:r>
        <w:rPr>
          <w:spacing w:val="33"/>
        </w:rPr>
        <w:t> </w:t>
      </w:r>
      <w:r>
        <w:rPr/>
        <w:t>beloved</w:t>
      </w:r>
      <w:r>
        <w:rPr>
          <w:spacing w:val="40"/>
        </w:rPr>
        <w:t> </w:t>
      </w:r>
      <w:r>
        <w:rPr/>
        <w:t>mother</w:t>
      </w:r>
      <w:r>
        <w:rPr>
          <w:spacing w:val="40"/>
        </w:rPr>
        <w:t> </w:t>
      </w:r>
      <w:r>
        <w:rPr/>
        <w:t>Hajiya</w:t>
      </w:r>
      <w:r>
        <w:rPr>
          <w:spacing w:val="40"/>
        </w:rPr>
        <w:t> </w:t>
      </w:r>
      <w:r>
        <w:rPr/>
        <w:t>Sa’adatu</w:t>
      </w:r>
      <w:r>
        <w:rPr>
          <w:spacing w:val="40"/>
        </w:rPr>
        <w:t> </w:t>
      </w:r>
      <w:r>
        <w:rPr/>
        <w:t>and</w:t>
      </w:r>
      <w:r>
        <w:rPr>
          <w:spacing w:val="40"/>
        </w:rPr>
        <w:t> </w:t>
      </w:r>
      <w:r>
        <w:rPr/>
        <w:t>my step mother Malama Khadija for raising me through thick and thin to accomplish this study. I am most grateful to ALLAH for keeping them alive to witness yet another achievement in my life. Only the Almighty in His infinite mercy can reward them, hopefully with Jannatul Firdaus (Ameen).</w:t>
      </w:r>
    </w:p>
    <w:p>
      <w:pPr>
        <w:pStyle w:val="BodyText"/>
      </w:pPr>
    </w:p>
    <w:p>
      <w:pPr>
        <w:pStyle w:val="BodyText"/>
        <w:spacing w:before="16"/>
      </w:pPr>
    </w:p>
    <w:p>
      <w:pPr>
        <w:pStyle w:val="BodyText"/>
        <w:spacing w:line="491" w:lineRule="auto"/>
        <w:ind w:left="665" w:right="895"/>
        <w:jc w:val="both"/>
      </w:pPr>
      <w:r>
        <w:rPr/>
        <w:t>My profound</w:t>
      </w:r>
      <w:r>
        <w:rPr>
          <w:spacing w:val="35"/>
        </w:rPr>
        <w:t> </w:t>
      </w:r>
      <w:r>
        <w:rPr/>
        <w:t>gratitude</w:t>
      </w:r>
      <w:r>
        <w:rPr>
          <w:spacing w:val="27"/>
        </w:rPr>
        <w:t> </w:t>
      </w:r>
      <w:r>
        <w:rPr/>
        <w:t>goes</w:t>
      </w:r>
      <w:r>
        <w:rPr>
          <w:spacing w:val="31"/>
        </w:rPr>
        <w:t> </w:t>
      </w:r>
      <w:r>
        <w:rPr/>
        <w:t>to</w:t>
      </w:r>
      <w:r>
        <w:rPr>
          <w:spacing w:val="30"/>
        </w:rPr>
        <w:t> </w:t>
      </w:r>
      <w:r>
        <w:rPr/>
        <w:t>my</w:t>
      </w:r>
      <w:r>
        <w:rPr>
          <w:spacing w:val="24"/>
        </w:rPr>
        <w:t> </w:t>
      </w:r>
      <w:r>
        <w:rPr/>
        <w:t>supervisors;</w:t>
      </w:r>
      <w:r>
        <w:rPr>
          <w:spacing w:val="32"/>
        </w:rPr>
        <w:t> </w:t>
      </w:r>
      <w:r>
        <w:rPr/>
        <w:t>Drs.</w:t>
      </w:r>
      <w:r>
        <w:rPr>
          <w:spacing w:val="33"/>
        </w:rPr>
        <w:t> </w:t>
      </w:r>
      <w:r>
        <w:rPr/>
        <w:t>A.</w:t>
      </w:r>
      <w:r>
        <w:rPr>
          <w:spacing w:val="33"/>
        </w:rPr>
        <w:t> </w:t>
      </w:r>
      <w:r>
        <w:rPr/>
        <w:t>B.</w:t>
      </w:r>
      <w:r>
        <w:rPr>
          <w:spacing w:val="33"/>
        </w:rPr>
        <w:t> </w:t>
      </w:r>
      <w:r>
        <w:rPr/>
        <w:t>Adelaiye</w:t>
      </w:r>
      <w:r>
        <w:rPr>
          <w:spacing w:val="33"/>
        </w:rPr>
        <w:t> </w:t>
      </w:r>
      <w:r>
        <w:rPr/>
        <w:t>and</w:t>
      </w:r>
      <w:r>
        <w:rPr>
          <w:spacing w:val="35"/>
        </w:rPr>
        <w:t> </w:t>
      </w:r>
      <w:r>
        <w:rPr/>
        <w:t>R.</w:t>
      </w:r>
      <w:r>
        <w:rPr>
          <w:spacing w:val="33"/>
        </w:rPr>
        <w:t> </w:t>
      </w:r>
      <w:r>
        <w:rPr/>
        <w:t>A.</w:t>
      </w:r>
      <w:r>
        <w:rPr>
          <w:spacing w:val="33"/>
        </w:rPr>
        <w:t> </w:t>
      </w:r>
      <w:r>
        <w:rPr/>
        <w:t>Magaji for their continuous support, understanding and guidance; I am sincerely grateful. My special regards goes to the Head of Department of Human Physiology, Ahmadu Bello University,</w:t>
      </w:r>
      <w:r>
        <w:rPr>
          <w:spacing w:val="40"/>
        </w:rPr>
        <w:t> </w:t>
      </w:r>
      <w:r>
        <w:rPr/>
        <w:t>Zaria,</w:t>
      </w:r>
      <w:r>
        <w:rPr>
          <w:spacing w:val="40"/>
        </w:rPr>
        <w:t> </w:t>
      </w:r>
      <w:r>
        <w:rPr/>
        <w:t>Dr</w:t>
      </w:r>
      <w:r>
        <w:rPr>
          <w:spacing w:val="40"/>
        </w:rPr>
        <w:t> </w:t>
      </w:r>
      <w:r>
        <w:rPr/>
        <w:t>Yusuf</w:t>
      </w:r>
      <w:r>
        <w:rPr>
          <w:spacing w:val="40"/>
        </w:rPr>
        <w:t> </w:t>
      </w:r>
      <w:r>
        <w:rPr/>
        <w:t>Tanko;</w:t>
      </w:r>
      <w:r>
        <w:rPr>
          <w:spacing w:val="40"/>
        </w:rPr>
        <w:t> </w:t>
      </w:r>
      <w:r>
        <w:rPr/>
        <w:t>and</w:t>
      </w:r>
      <w:r>
        <w:rPr>
          <w:spacing w:val="40"/>
        </w:rPr>
        <w:t> </w:t>
      </w:r>
      <w:r>
        <w:rPr/>
        <w:t>all</w:t>
      </w:r>
      <w:r>
        <w:rPr>
          <w:spacing w:val="40"/>
        </w:rPr>
        <w:t> </w:t>
      </w:r>
      <w:r>
        <w:rPr/>
        <w:t>my</w:t>
      </w:r>
      <w:r>
        <w:rPr>
          <w:spacing w:val="40"/>
        </w:rPr>
        <w:t> </w:t>
      </w:r>
      <w:r>
        <w:rPr/>
        <w:t>lecturers,</w:t>
      </w:r>
      <w:r>
        <w:rPr>
          <w:spacing w:val="40"/>
        </w:rPr>
        <w:t> </w:t>
      </w:r>
      <w:r>
        <w:rPr/>
        <w:t>including</w:t>
      </w:r>
      <w:r>
        <w:rPr>
          <w:spacing w:val="40"/>
        </w:rPr>
        <w:t> </w:t>
      </w:r>
      <w:r>
        <w:rPr/>
        <w:t>Prof.</w:t>
      </w:r>
      <w:r>
        <w:rPr>
          <w:spacing w:val="40"/>
        </w:rPr>
        <w:t> </w:t>
      </w:r>
      <w:r>
        <w:rPr/>
        <w:t>M.</w:t>
      </w:r>
      <w:r>
        <w:rPr>
          <w:spacing w:val="40"/>
        </w:rPr>
        <w:t> </w:t>
      </w:r>
      <w:r>
        <w:rPr/>
        <w:t>A. Mabrouk, Prof. J. O. Ayo, Prof. J. A. Anuka, Prof. A. A. Dikko, and Dr K. V.</w:t>
      </w:r>
      <w:r>
        <w:rPr>
          <w:spacing w:val="40"/>
        </w:rPr>
        <w:t> </w:t>
      </w:r>
      <w:r>
        <w:rPr/>
        <w:t>Olurunshola. I am also grateful to Dr. M. Y. Gwarzo of Biochemistry Department of Bayero University, Kano and Prof. A. Dare of Radiography Department of Bayero University, Kano who have made significant contribution in my thesis. I really enjoyed</w:t>
      </w:r>
      <w:r>
        <w:rPr>
          <w:spacing w:val="80"/>
        </w:rPr>
        <w:t> </w:t>
      </w:r>
      <w:r>
        <w:rPr/>
        <w:t>the time we spent together with my colleagues, most especially I. A. Sheriff, U.</w:t>
      </w:r>
      <w:r>
        <w:rPr>
          <w:spacing w:val="80"/>
        </w:rPr>
        <w:t> </w:t>
      </w:r>
      <w:r>
        <w:rPr/>
        <w:t>Abdullahi,</w:t>
      </w:r>
      <w:r>
        <w:rPr>
          <w:spacing w:val="40"/>
        </w:rPr>
        <w:t> </w:t>
      </w:r>
      <w:r>
        <w:rPr/>
        <w:t>A.</w:t>
      </w:r>
      <w:r>
        <w:rPr>
          <w:spacing w:val="40"/>
        </w:rPr>
        <w:t> </w:t>
      </w:r>
      <w:r>
        <w:rPr/>
        <w:t>A’isha</w:t>
      </w:r>
      <w:r>
        <w:rPr>
          <w:spacing w:val="40"/>
        </w:rPr>
        <w:t> </w:t>
      </w:r>
      <w:r>
        <w:rPr/>
        <w:t>and</w:t>
      </w:r>
      <w:r>
        <w:rPr>
          <w:spacing w:val="40"/>
        </w:rPr>
        <w:t> </w:t>
      </w:r>
      <w:r>
        <w:rPr/>
        <w:t>Drs</w:t>
      </w:r>
      <w:r>
        <w:rPr>
          <w:spacing w:val="40"/>
        </w:rPr>
        <w:t> </w:t>
      </w:r>
      <w:r>
        <w:rPr/>
        <w:t>A.</w:t>
      </w:r>
      <w:r>
        <w:rPr>
          <w:spacing w:val="40"/>
        </w:rPr>
        <w:t> </w:t>
      </w:r>
      <w:r>
        <w:rPr/>
        <w:t>Isma’il</w:t>
      </w:r>
      <w:r>
        <w:rPr>
          <w:spacing w:val="40"/>
        </w:rPr>
        <w:t> </w:t>
      </w:r>
      <w:r>
        <w:rPr/>
        <w:t>and</w:t>
      </w:r>
      <w:r>
        <w:rPr>
          <w:spacing w:val="40"/>
        </w:rPr>
        <w:t> </w:t>
      </w:r>
      <w:r>
        <w:rPr/>
        <w:t>M.</w:t>
      </w:r>
      <w:r>
        <w:rPr>
          <w:spacing w:val="40"/>
        </w:rPr>
        <w:t> </w:t>
      </w:r>
      <w:r>
        <w:rPr/>
        <w:t>A.</w:t>
      </w:r>
      <w:r>
        <w:rPr>
          <w:spacing w:val="40"/>
        </w:rPr>
        <w:t> </w:t>
      </w:r>
      <w:r>
        <w:rPr/>
        <w:t>Abbas,</w:t>
      </w:r>
      <w:r>
        <w:rPr>
          <w:spacing w:val="40"/>
        </w:rPr>
        <w:t> </w:t>
      </w:r>
      <w:r>
        <w:rPr/>
        <w:t>to</w:t>
      </w:r>
      <w:r>
        <w:rPr>
          <w:spacing w:val="40"/>
        </w:rPr>
        <w:t> </w:t>
      </w:r>
      <w:r>
        <w:rPr/>
        <w:t>mention</w:t>
      </w:r>
      <w:r>
        <w:rPr>
          <w:spacing w:val="39"/>
        </w:rPr>
        <w:t> </w:t>
      </w:r>
      <w:r>
        <w:rPr/>
        <w:t>a</w:t>
      </w:r>
      <w:r>
        <w:rPr>
          <w:spacing w:val="40"/>
        </w:rPr>
        <w:t> </w:t>
      </w:r>
      <w:r>
        <w:rPr/>
        <w:t>few.</w:t>
      </w:r>
      <w:r>
        <w:rPr>
          <w:spacing w:val="40"/>
        </w:rPr>
        <w:t> </w:t>
      </w:r>
      <w:r>
        <w:rPr/>
        <w:t>I</w:t>
      </w:r>
      <w:r>
        <w:rPr>
          <w:spacing w:val="40"/>
        </w:rPr>
        <w:t> </w:t>
      </w:r>
      <w:r>
        <w:rPr/>
        <w:t>am indeed mindful of the roles played by M. P. Philemon and S. M. Okey in helping me conduct the laboratory work.</w:t>
      </w:r>
    </w:p>
    <w:p>
      <w:pPr>
        <w:spacing w:after="0" w:line="491" w:lineRule="auto"/>
        <w:jc w:val="both"/>
        <w:sectPr>
          <w:pgSz w:w="12240" w:h="15840"/>
          <w:pgMar w:header="0" w:footer="916" w:top="1260" w:bottom="1100" w:left="1720" w:right="960"/>
        </w:sectPr>
      </w:pPr>
    </w:p>
    <w:p>
      <w:pPr>
        <w:pStyle w:val="BodyText"/>
        <w:spacing w:before="75"/>
        <w:ind w:left="665"/>
      </w:pPr>
      <w:r>
        <w:rPr/>
        <w:t>I</w:t>
      </w:r>
      <w:r>
        <w:rPr>
          <w:spacing w:val="10"/>
        </w:rPr>
        <w:t> </w:t>
      </w:r>
      <w:r>
        <w:rPr/>
        <w:t>am</w:t>
      </w:r>
      <w:r>
        <w:rPr>
          <w:spacing w:val="16"/>
        </w:rPr>
        <w:t> </w:t>
      </w:r>
      <w:r>
        <w:rPr/>
        <w:t>duly</w:t>
      </w:r>
      <w:r>
        <w:rPr>
          <w:spacing w:val="12"/>
        </w:rPr>
        <w:t> </w:t>
      </w:r>
      <w:r>
        <w:rPr/>
        <w:t>grateful</w:t>
      </w:r>
      <w:r>
        <w:rPr>
          <w:spacing w:val="13"/>
        </w:rPr>
        <w:t> </w:t>
      </w:r>
      <w:r>
        <w:rPr/>
        <w:t>to</w:t>
      </w:r>
      <w:r>
        <w:rPr>
          <w:spacing w:val="17"/>
        </w:rPr>
        <w:t> </w:t>
      </w:r>
      <w:r>
        <w:rPr/>
        <w:t>my</w:t>
      </w:r>
      <w:r>
        <w:rPr>
          <w:spacing w:val="11"/>
        </w:rPr>
        <w:t> </w:t>
      </w:r>
      <w:r>
        <w:rPr/>
        <w:t>family</w:t>
      </w:r>
      <w:r>
        <w:rPr>
          <w:spacing w:val="12"/>
        </w:rPr>
        <w:t> </w:t>
      </w:r>
      <w:r>
        <w:rPr/>
        <w:t>and</w:t>
      </w:r>
      <w:r>
        <w:rPr>
          <w:spacing w:val="21"/>
        </w:rPr>
        <w:t> </w:t>
      </w:r>
      <w:r>
        <w:rPr/>
        <w:t>colleagues</w:t>
      </w:r>
      <w:r>
        <w:rPr>
          <w:spacing w:val="17"/>
        </w:rPr>
        <w:t> </w:t>
      </w:r>
      <w:r>
        <w:rPr/>
        <w:t>like</w:t>
      </w:r>
      <w:r>
        <w:rPr>
          <w:spacing w:val="15"/>
        </w:rPr>
        <w:t> </w:t>
      </w:r>
      <w:r>
        <w:rPr/>
        <w:t>Drs.</w:t>
      </w:r>
      <w:r>
        <w:rPr>
          <w:spacing w:val="15"/>
        </w:rPr>
        <w:t> </w:t>
      </w:r>
      <w:r>
        <w:rPr/>
        <w:t>A.</w:t>
      </w:r>
      <w:r>
        <w:rPr>
          <w:spacing w:val="15"/>
        </w:rPr>
        <w:t> </w:t>
      </w:r>
      <w:r>
        <w:rPr/>
        <w:t>I.</w:t>
      </w:r>
      <w:r>
        <w:rPr>
          <w:spacing w:val="21"/>
        </w:rPr>
        <w:t> </w:t>
      </w:r>
      <w:r>
        <w:rPr/>
        <w:t>Salisu,</w:t>
      </w:r>
      <w:r>
        <w:rPr>
          <w:spacing w:val="20"/>
        </w:rPr>
        <w:t> </w:t>
      </w:r>
      <w:r>
        <w:rPr/>
        <w:t>W.</w:t>
      </w:r>
      <w:r>
        <w:rPr>
          <w:spacing w:val="15"/>
        </w:rPr>
        <w:t> </w:t>
      </w:r>
      <w:r>
        <w:rPr/>
        <w:t>Nafisa</w:t>
      </w:r>
      <w:r>
        <w:rPr>
          <w:spacing w:val="15"/>
        </w:rPr>
        <w:t> </w:t>
      </w:r>
      <w:r>
        <w:rPr/>
        <w:t>and</w:t>
      </w:r>
      <w:r>
        <w:rPr>
          <w:spacing w:val="16"/>
        </w:rPr>
        <w:t> </w:t>
      </w:r>
      <w:r>
        <w:rPr>
          <w:spacing w:val="-5"/>
        </w:rPr>
        <w:t>M.</w:t>
      </w:r>
    </w:p>
    <w:p>
      <w:pPr>
        <w:pStyle w:val="BodyText"/>
        <w:spacing w:before="12"/>
      </w:pPr>
    </w:p>
    <w:p>
      <w:pPr>
        <w:pStyle w:val="BodyText"/>
        <w:spacing w:line="491" w:lineRule="auto" w:before="1"/>
        <w:ind w:left="665" w:right="904"/>
        <w:jc w:val="both"/>
      </w:pPr>
      <w:r>
        <w:rPr/>
        <w:t>A. Salim. Finally, I sincerely want to thank Mr A. Olu of Chemical pathology, Ahmadu Bello University, Teaching hospital, Zaria and anybody who has contributed to this </w:t>
      </w:r>
      <w:r>
        <w:rPr>
          <w:spacing w:val="-2"/>
        </w:rPr>
        <w:t>success.</w:t>
      </w:r>
    </w:p>
    <w:p>
      <w:pPr>
        <w:pStyle w:val="BodyText"/>
      </w:pPr>
    </w:p>
    <w:p>
      <w:pPr>
        <w:pStyle w:val="BodyText"/>
        <w:spacing w:before="11"/>
      </w:pPr>
    </w:p>
    <w:p>
      <w:pPr>
        <w:pStyle w:val="BodyText"/>
        <w:spacing w:line="487" w:lineRule="auto"/>
        <w:ind w:left="665" w:right="6337"/>
      </w:pPr>
      <w:r>
        <w:rPr/>
        <w:t>Musa Kurawa IBRAHIM 25</w:t>
      </w:r>
      <w:r>
        <w:rPr>
          <w:vertAlign w:val="superscript"/>
        </w:rPr>
        <w:t>th</w:t>
      </w:r>
      <w:r>
        <w:rPr>
          <w:vertAlign w:val="baseline"/>
        </w:rPr>
        <w:t> July, 2012.</w:t>
      </w:r>
    </w:p>
    <w:p>
      <w:pPr>
        <w:spacing w:after="0" w:line="487" w:lineRule="auto"/>
        <w:sectPr>
          <w:pgSz w:w="12240" w:h="15840"/>
          <w:pgMar w:header="0" w:footer="916" w:top="1260" w:bottom="1100" w:left="1720" w:right="960"/>
        </w:sectPr>
      </w:pPr>
    </w:p>
    <w:p>
      <w:pPr>
        <w:pStyle w:val="Heading2"/>
        <w:ind w:right="243"/>
        <w:jc w:val="center"/>
      </w:pPr>
      <w:bookmarkStart w:name="_TOC_250053" w:id="4"/>
      <w:bookmarkEnd w:id="4"/>
      <w:r>
        <w:rPr>
          <w:spacing w:val="-2"/>
        </w:rPr>
        <w:t>ABSTRACT</w:t>
      </w:r>
    </w:p>
    <w:p>
      <w:pPr>
        <w:pStyle w:val="BodyText"/>
        <w:rPr>
          <w:b/>
        </w:rPr>
      </w:pPr>
    </w:p>
    <w:p>
      <w:pPr>
        <w:pStyle w:val="BodyText"/>
        <w:spacing w:before="239"/>
        <w:rPr>
          <w:b/>
        </w:rPr>
      </w:pPr>
    </w:p>
    <w:p>
      <w:pPr>
        <w:pStyle w:val="BodyText"/>
        <w:spacing w:line="369" w:lineRule="auto"/>
        <w:ind w:left="665" w:right="897"/>
        <w:jc w:val="both"/>
      </w:pPr>
      <w:r>
        <w:rPr/>
        <w:t>The study involved assessment of the effects produced by exposure of mice to generator exhaust</w:t>
      </w:r>
      <w:r>
        <w:rPr>
          <w:spacing w:val="40"/>
        </w:rPr>
        <w:t> </w:t>
      </w:r>
      <w:r>
        <w:rPr/>
        <w:t>fumes</w:t>
      </w:r>
      <w:r>
        <w:rPr>
          <w:spacing w:val="40"/>
        </w:rPr>
        <w:t> </w:t>
      </w:r>
      <w:r>
        <w:rPr/>
        <w:t>on</w:t>
      </w:r>
      <w:r>
        <w:rPr>
          <w:spacing w:val="40"/>
        </w:rPr>
        <w:t> </w:t>
      </w:r>
      <w:r>
        <w:rPr/>
        <w:t>the</w:t>
      </w:r>
      <w:r>
        <w:rPr>
          <w:spacing w:val="40"/>
        </w:rPr>
        <w:t> </w:t>
      </w:r>
      <w:r>
        <w:rPr/>
        <w:t>learning,</w:t>
      </w:r>
      <w:r>
        <w:rPr>
          <w:spacing w:val="40"/>
        </w:rPr>
        <w:t> </w:t>
      </w:r>
      <w:r>
        <w:rPr/>
        <w:t>memory</w:t>
      </w:r>
      <w:r>
        <w:rPr>
          <w:spacing w:val="40"/>
        </w:rPr>
        <w:t> </w:t>
      </w:r>
      <w:r>
        <w:rPr/>
        <w:t>and</w:t>
      </w:r>
      <w:r>
        <w:rPr>
          <w:spacing w:val="40"/>
        </w:rPr>
        <w:t> </w:t>
      </w:r>
      <w:r>
        <w:rPr/>
        <w:t>motor</w:t>
      </w:r>
      <w:r>
        <w:rPr>
          <w:spacing w:val="40"/>
        </w:rPr>
        <w:t> </w:t>
      </w:r>
      <w:r>
        <w:rPr/>
        <w:t>coordination.</w:t>
      </w:r>
      <w:r>
        <w:rPr>
          <w:spacing w:val="40"/>
        </w:rPr>
        <w:t> </w:t>
      </w:r>
      <w:r>
        <w:rPr/>
        <w:t>Carbon</w:t>
      </w:r>
      <w:r>
        <w:rPr>
          <w:spacing w:val="40"/>
        </w:rPr>
        <w:t> </w:t>
      </w:r>
      <w:r>
        <w:rPr/>
        <w:t>monoxide (CO) which is produced from combustion of any carbonaceous substance is among the toxic contents and was studied in detail. Twenty four animals were grouped into two</w:t>
      </w:r>
      <w:r>
        <w:rPr>
          <w:spacing w:val="40"/>
        </w:rPr>
        <w:t> </w:t>
      </w:r>
      <w:r>
        <w:rPr/>
        <w:t>major</w:t>
      </w:r>
      <w:r>
        <w:rPr>
          <w:spacing w:val="33"/>
        </w:rPr>
        <w:t> </w:t>
      </w:r>
      <w:r>
        <w:rPr/>
        <w:t>groups;</w:t>
      </w:r>
      <w:r>
        <w:rPr>
          <w:spacing w:val="31"/>
        </w:rPr>
        <w:t> </w:t>
      </w:r>
      <w:r>
        <w:rPr/>
        <w:t>the</w:t>
      </w:r>
      <w:r>
        <w:rPr>
          <w:spacing w:val="32"/>
        </w:rPr>
        <w:t> </w:t>
      </w:r>
      <w:r>
        <w:rPr/>
        <w:t>first</w:t>
      </w:r>
      <w:r>
        <w:rPr>
          <w:spacing w:val="36"/>
        </w:rPr>
        <w:t> </w:t>
      </w:r>
      <w:r>
        <w:rPr/>
        <w:t>group</w:t>
      </w:r>
      <w:r>
        <w:rPr>
          <w:spacing w:val="38"/>
        </w:rPr>
        <w:t> </w:t>
      </w:r>
      <w:r>
        <w:rPr/>
        <w:t>was</w:t>
      </w:r>
      <w:r>
        <w:rPr>
          <w:spacing w:val="29"/>
        </w:rPr>
        <w:t> </w:t>
      </w:r>
      <w:r>
        <w:rPr/>
        <w:t>tested</w:t>
      </w:r>
      <w:r>
        <w:rPr>
          <w:spacing w:val="38"/>
        </w:rPr>
        <w:t> </w:t>
      </w:r>
      <w:r>
        <w:rPr/>
        <w:t>for</w:t>
      </w:r>
      <w:r>
        <w:rPr>
          <w:spacing w:val="33"/>
        </w:rPr>
        <w:t> </w:t>
      </w:r>
      <w:r>
        <w:rPr/>
        <w:t>motor</w:t>
      </w:r>
      <w:r>
        <w:rPr>
          <w:spacing w:val="33"/>
        </w:rPr>
        <w:t> </w:t>
      </w:r>
      <w:r>
        <w:rPr/>
        <w:t>coordination using</w:t>
      </w:r>
      <w:r>
        <w:rPr>
          <w:spacing w:val="28"/>
        </w:rPr>
        <w:t> </w:t>
      </w:r>
      <w:r>
        <w:rPr/>
        <w:t>beam</w:t>
      </w:r>
      <w:r>
        <w:rPr>
          <w:spacing w:val="34"/>
        </w:rPr>
        <w:t> </w:t>
      </w:r>
      <w:r>
        <w:rPr/>
        <w:t>walk;</w:t>
      </w:r>
      <w:r>
        <w:rPr>
          <w:spacing w:val="31"/>
        </w:rPr>
        <w:t> </w:t>
      </w:r>
      <w:r>
        <w:rPr/>
        <w:t>and the</w:t>
      </w:r>
      <w:r>
        <w:rPr>
          <w:spacing w:val="40"/>
        </w:rPr>
        <w:t> </w:t>
      </w:r>
      <w:r>
        <w:rPr/>
        <w:t>other</w:t>
      </w:r>
      <w:r>
        <w:rPr>
          <w:spacing w:val="40"/>
        </w:rPr>
        <w:t> </w:t>
      </w:r>
      <w:r>
        <w:rPr/>
        <w:t>group</w:t>
      </w:r>
      <w:r>
        <w:rPr>
          <w:spacing w:val="40"/>
        </w:rPr>
        <w:t> </w:t>
      </w:r>
      <w:r>
        <w:rPr/>
        <w:t>for</w:t>
      </w:r>
      <w:r>
        <w:rPr>
          <w:spacing w:val="40"/>
        </w:rPr>
        <w:t> </w:t>
      </w:r>
      <w:r>
        <w:rPr/>
        <w:t>learning</w:t>
      </w:r>
      <w:r>
        <w:rPr>
          <w:spacing w:val="40"/>
        </w:rPr>
        <w:t> </w:t>
      </w:r>
      <w:r>
        <w:rPr/>
        <w:t>and</w:t>
      </w:r>
      <w:r>
        <w:rPr>
          <w:spacing w:val="40"/>
        </w:rPr>
        <w:t> </w:t>
      </w:r>
      <w:r>
        <w:rPr/>
        <w:t>memory,</w:t>
      </w:r>
      <w:r>
        <w:rPr>
          <w:spacing w:val="40"/>
        </w:rPr>
        <w:t> </w:t>
      </w:r>
      <w:r>
        <w:rPr/>
        <w:t>using</w:t>
      </w:r>
      <w:r>
        <w:rPr>
          <w:spacing w:val="40"/>
        </w:rPr>
        <w:t> </w:t>
      </w:r>
      <w:r>
        <w:rPr/>
        <w:t>elevated</w:t>
      </w:r>
      <w:r>
        <w:rPr>
          <w:spacing w:val="40"/>
        </w:rPr>
        <w:t> </w:t>
      </w:r>
      <w:r>
        <w:rPr/>
        <w:t>plus</w:t>
      </w:r>
      <w:r>
        <w:rPr>
          <w:spacing w:val="40"/>
        </w:rPr>
        <w:t> </w:t>
      </w:r>
      <w:r>
        <w:rPr/>
        <w:t>maze</w:t>
      </w:r>
      <w:r>
        <w:rPr>
          <w:spacing w:val="40"/>
        </w:rPr>
        <w:t> </w:t>
      </w:r>
      <w:r>
        <w:rPr/>
        <w:t>(EPM).</w:t>
      </w:r>
      <w:r>
        <w:rPr>
          <w:spacing w:val="40"/>
        </w:rPr>
        <w:t> </w:t>
      </w:r>
      <w:r>
        <w:rPr/>
        <w:t>Mean transfer latencies (TL) were measured in seconds. Gasoline powered generator (TIGER, TG950, 220v/24 0v) manufactured by </w:t>
      </w:r>
      <w:r>
        <w:rPr>
          <w:i/>
        </w:rPr>
        <w:t>Suzhou Tiger Power Machine Co., Ltd., </w:t>
      </w:r>
      <w:r>
        <w:rPr/>
        <w:t>China served as the source of CO. Carbon monoxide monitor (Amprobe, CM100) was used to record the dose of CO in parts per million (ppm). The dose of 100–150 ppm of CO exposure was maintained throughout the study. Values of P&lt; 0.05 were considered to be statistically</w:t>
      </w:r>
      <w:r>
        <w:rPr>
          <w:spacing w:val="40"/>
        </w:rPr>
        <w:t> </w:t>
      </w:r>
      <w:r>
        <w:rPr/>
        <w:t>significant.</w:t>
      </w:r>
      <w:r>
        <w:rPr>
          <w:spacing w:val="40"/>
        </w:rPr>
        <w:t> </w:t>
      </w:r>
      <w:r>
        <w:rPr/>
        <w:t>Each</w:t>
      </w:r>
      <w:r>
        <w:rPr>
          <w:spacing w:val="40"/>
        </w:rPr>
        <w:t> </w:t>
      </w:r>
      <w:r>
        <w:rPr/>
        <w:t>of</w:t>
      </w:r>
      <w:r>
        <w:rPr>
          <w:spacing w:val="40"/>
        </w:rPr>
        <w:t> </w:t>
      </w:r>
      <w:r>
        <w:rPr/>
        <w:t>the</w:t>
      </w:r>
      <w:r>
        <w:rPr>
          <w:spacing w:val="40"/>
        </w:rPr>
        <w:t> </w:t>
      </w:r>
      <w:r>
        <w:rPr/>
        <w:t>two</w:t>
      </w:r>
      <w:r>
        <w:rPr>
          <w:spacing w:val="40"/>
        </w:rPr>
        <w:t> </w:t>
      </w:r>
      <w:r>
        <w:rPr/>
        <w:t>major</w:t>
      </w:r>
      <w:r>
        <w:rPr>
          <w:spacing w:val="40"/>
        </w:rPr>
        <w:t> </w:t>
      </w:r>
      <w:r>
        <w:rPr/>
        <w:t>groups</w:t>
      </w:r>
      <w:r>
        <w:rPr>
          <w:spacing w:val="40"/>
        </w:rPr>
        <w:t> </w:t>
      </w:r>
      <w:r>
        <w:rPr/>
        <w:t>was</w:t>
      </w:r>
      <w:r>
        <w:rPr>
          <w:spacing w:val="40"/>
        </w:rPr>
        <w:t> </w:t>
      </w:r>
      <w:r>
        <w:rPr/>
        <w:t>subdivided</w:t>
      </w:r>
      <w:r>
        <w:rPr>
          <w:spacing w:val="40"/>
        </w:rPr>
        <w:t> </w:t>
      </w:r>
      <w:r>
        <w:rPr/>
        <w:t>into</w:t>
      </w:r>
      <w:r>
        <w:rPr>
          <w:spacing w:val="40"/>
        </w:rPr>
        <w:t> </w:t>
      </w:r>
      <w:r>
        <w:rPr/>
        <w:t>control group, which was exposed to room air, and experimental group that was placed into a partially enclosed</w:t>
      </w:r>
      <w:r>
        <w:rPr>
          <w:spacing w:val="40"/>
        </w:rPr>
        <w:t> </w:t>
      </w:r>
      <w:r>
        <w:rPr/>
        <w:t>gas</w:t>
      </w:r>
      <w:r>
        <w:rPr>
          <w:spacing w:val="40"/>
        </w:rPr>
        <w:t> </w:t>
      </w:r>
      <w:r>
        <w:rPr/>
        <w:t>chamber</w:t>
      </w:r>
      <w:r>
        <w:rPr>
          <w:spacing w:val="40"/>
        </w:rPr>
        <w:t> </w:t>
      </w:r>
      <w:r>
        <w:rPr/>
        <w:t>and</w:t>
      </w:r>
      <w:r>
        <w:rPr>
          <w:spacing w:val="40"/>
        </w:rPr>
        <w:t> </w:t>
      </w:r>
      <w:r>
        <w:rPr/>
        <w:t>exposed</w:t>
      </w:r>
      <w:r>
        <w:rPr>
          <w:spacing w:val="40"/>
        </w:rPr>
        <w:t> </w:t>
      </w:r>
      <w:r>
        <w:rPr/>
        <w:t>directly to</w:t>
      </w:r>
      <w:r>
        <w:rPr>
          <w:spacing w:val="40"/>
        </w:rPr>
        <w:t> </w:t>
      </w:r>
      <w:r>
        <w:rPr/>
        <w:t>the</w:t>
      </w:r>
      <w:r>
        <w:rPr>
          <w:spacing w:val="40"/>
        </w:rPr>
        <w:t> </w:t>
      </w:r>
      <w:r>
        <w:rPr/>
        <w:t>exhaust</w:t>
      </w:r>
      <w:r>
        <w:rPr>
          <w:spacing w:val="40"/>
        </w:rPr>
        <w:t> </w:t>
      </w:r>
      <w:r>
        <w:rPr/>
        <w:t>fumes</w:t>
      </w:r>
      <w:r>
        <w:rPr>
          <w:spacing w:val="40"/>
        </w:rPr>
        <w:t> </w:t>
      </w:r>
      <w:r>
        <w:rPr/>
        <w:t>of</w:t>
      </w:r>
      <w:r>
        <w:rPr>
          <w:spacing w:val="40"/>
        </w:rPr>
        <w:t> </w:t>
      </w:r>
      <w:r>
        <w:rPr/>
        <w:t>the generator for 30 minutes, 1 hour and 2 hour periods before the neurobehavioural tests. During the</w:t>
      </w:r>
      <w:r>
        <w:rPr>
          <w:spacing w:val="39"/>
        </w:rPr>
        <w:t> </w:t>
      </w:r>
      <w:r>
        <w:rPr/>
        <w:t>learning task (Day 1),</w:t>
      </w:r>
      <w:r>
        <w:rPr>
          <w:spacing w:val="33"/>
        </w:rPr>
        <w:t> </w:t>
      </w:r>
      <w:r>
        <w:rPr/>
        <w:t>experimental</w:t>
      </w:r>
      <w:r>
        <w:rPr>
          <w:spacing w:val="31"/>
        </w:rPr>
        <w:t> </w:t>
      </w:r>
      <w:r>
        <w:rPr/>
        <w:t>animals</w:t>
      </w:r>
      <w:r>
        <w:rPr>
          <w:spacing w:val="30"/>
        </w:rPr>
        <w:t> </w:t>
      </w:r>
      <w:r>
        <w:rPr/>
        <w:t>showed</w:t>
      </w:r>
      <w:r>
        <w:rPr>
          <w:spacing w:val="35"/>
        </w:rPr>
        <w:t> </w:t>
      </w:r>
      <w:r>
        <w:rPr/>
        <w:t>significant</w:t>
      </w:r>
      <w:r>
        <w:rPr>
          <w:spacing w:val="37"/>
        </w:rPr>
        <w:t> </w:t>
      </w:r>
      <w:r>
        <w:rPr/>
        <w:t>decrease</w:t>
      </w:r>
      <w:r>
        <w:rPr>
          <w:spacing w:val="33"/>
        </w:rPr>
        <w:t> </w:t>
      </w:r>
      <w:r>
        <w:rPr/>
        <w:t>in the</w:t>
      </w:r>
      <w:r>
        <w:rPr>
          <w:spacing w:val="30"/>
        </w:rPr>
        <w:t> </w:t>
      </w:r>
      <w:r>
        <w:rPr/>
        <w:t>mean TL</w:t>
      </w:r>
      <w:r>
        <w:rPr>
          <w:spacing w:val="26"/>
        </w:rPr>
        <w:t> </w:t>
      </w:r>
      <w:r>
        <w:rPr/>
        <w:t>of</w:t>
      </w:r>
      <w:r>
        <w:rPr>
          <w:spacing w:val="20"/>
        </w:rPr>
        <w:t> </w:t>
      </w:r>
      <w:r>
        <w:rPr/>
        <w:t>13.4</w:t>
      </w:r>
      <w:r>
        <w:rPr>
          <w:spacing w:val="33"/>
        </w:rPr>
        <w:t> </w:t>
      </w:r>
      <w:r>
        <w:rPr/>
        <w:t>±</w:t>
      </w:r>
      <w:r>
        <w:rPr>
          <w:spacing w:val="26"/>
        </w:rPr>
        <w:t> </w:t>
      </w:r>
      <w:r>
        <w:rPr/>
        <w:t>1.5</w:t>
      </w:r>
      <w:r>
        <w:rPr>
          <w:spacing w:val="27"/>
        </w:rPr>
        <w:t> </w:t>
      </w:r>
      <w:r>
        <w:rPr/>
        <w:t>seconds</w:t>
      </w:r>
      <w:r>
        <w:rPr>
          <w:spacing w:val="23"/>
        </w:rPr>
        <w:t> </w:t>
      </w:r>
      <w:r>
        <w:rPr/>
        <w:t>and</w:t>
      </w:r>
      <w:r>
        <w:rPr>
          <w:spacing w:val="33"/>
        </w:rPr>
        <w:t> </w:t>
      </w:r>
      <w:r>
        <w:rPr/>
        <w:t>an</w:t>
      </w:r>
      <w:r>
        <w:rPr>
          <w:spacing w:val="33"/>
        </w:rPr>
        <w:t> </w:t>
      </w:r>
      <w:r>
        <w:rPr/>
        <w:t>increase</w:t>
      </w:r>
      <w:r>
        <w:rPr>
          <w:spacing w:val="25"/>
        </w:rPr>
        <w:t> </w:t>
      </w:r>
      <w:r>
        <w:rPr/>
        <w:t>of</w:t>
      </w:r>
      <w:r>
        <w:rPr>
          <w:spacing w:val="20"/>
        </w:rPr>
        <w:t> </w:t>
      </w:r>
      <w:r>
        <w:rPr/>
        <w:t>73</w:t>
      </w:r>
      <w:r>
        <w:rPr>
          <w:spacing w:val="27"/>
        </w:rPr>
        <w:t> </w:t>
      </w:r>
      <w:r>
        <w:rPr/>
        <w:t>±</w:t>
      </w:r>
      <w:r>
        <w:rPr>
          <w:spacing w:val="30"/>
        </w:rPr>
        <w:t> </w:t>
      </w:r>
      <w:r>
        <w:rPr/>
        <w:t>8.4</w:t>
      </w:r>
      <w:r>
        <w:rPr>
          <w:spacing w:val="27"/>
        </w:rPr>
        <w:t> </w:t>
      </w:r>
      <w:r>
        <w:rPr/>
        <w:t>seconds</w:t>
      </w:r>
      <w:r>
        <w:rPr>
          <w:spacing w:val="23"/>
        </w:rPr>
        <w:t> </w:t>
      </w:r>
      <w:r>
        <w:rPr/>
        <w:t>at</w:t>
      </w:r>
      <w:r>
        <w:rPr>
          <w:spacing w:val="24"/>
        </w:rPr>
        <w:t> </w:t>
      </w:r>
      <w:r>
        <w:rPr/>
        <w:t>30</w:t>
      </w:r>
      <w:r>
        <w:rPr>
          <w:spacing w:val="27"/>
        </w:rPr>
        <w:t> </w:t>
      </w:r>
      <w:r>
        <w:rPr/>
        <w:t>minutes and one hour, respectively, when compared to their controls (28.6 ± 5.2 seconds) and</w:t>
      </w:r>
      <w:r>
        <w:rPr>
          <w:spacing w:val="40"/>
        </w:rPr>
        <w:t> </w:t>
      </w:r>
      <w:r>
        <w:rPr/>
        <w:t>(21.8</w:t>
      </w:r>
      <w:r>
        <w:rPr>
          <w:spacing w:val="31"/>
        </w:rPr>
        <w:t> </w:t>
      </w:r>
      <w:r>
        <w:rPr/>
        <w:t>± 4.4</w:t>
      </w:r>
      <w:r>
        <w:rPr>
          <w:spacing w:val="31"/>
        </w:rPr>
        <w:t> </w:t>
      </w:r>
      <w:r>
        <w:rPr/>
        <w:t>seconds).</w:t>
      </w:r>
      <w:r>
        <w:rPr>
          <w:spacing w:val="30"/>
        </w:rPr>
        <w:t> </w:t>
      </w:r>
      <w:r>
        <w:rPr/>
        <w:t>However,</w:t>
      </w:r>
      <w:r>
        <w:rPr>
          <w:spacing w:val="24"/>
        </w:rPr>
        <w:t> </w:t>
      </w:r>
      <w:r>
        <w:rPr/>
        <w:t>there was no</w:t>
      </w:r>
      <w:r>
        <w:rPr>
          <w:spacing w:val="31"/>
        </w:rPr>
        <w:t> </w:t>
      </w:r>
      <w:r>
        <w:rPr/>
        <w:t>significant change</w:t>
      </w:r>
      <w:r>
        <w:rPr>
          <w:spacing w:val="29"/>
        </w:rPr>
        <w:t> </w:t>
      </w:r>
      <w:r>
        <w:rPr/>
        <w:t>in the mean TL during the</w:t>
      </w:r>
      <w:r>
        <w:rPr>
          <w:spacing w:val="40"/>
        </w:rPr>
        <w:t> </w:t>
      </w:r>
      <w:r>
        <w:rPr/>
        <w:t>2-hour</w:t>
      </w:r>
      <w:r>
        <w:rPr>
          <w:spacing w:val="40"/>
        </w:rPr>
        <w:t> </w:t>
      </w:r>
      <w:r>
        <w:rPr/>
        <w:t>exposure.</w:t>
      </w:r>
      <w:r>
        <w:rPr>
          <w:spacing w:val="40"/>
        </w:rPr>
        <w:t> </w:t>
      </w:r>
      <w:r>
        <w:rPr/>
        <w:t>The</w:t>
      </w:r>
      <w:r>
        <w:rPr>
          <w:spacing w:val="40"/>
        </w:rPr>
        <w:t> </w:t>
      </w:r>
      <w:r>
        <w:rPr/>
        <w:t>memory task</w:t>
      </w:r>
      <w:r>
        <w:rPr>
          <w:spacing w:val="40"/>
        </w:rPr>
        <w:t> </w:t>
      </w:r>
      <w:r>
        <w:rPr/>
        <w:t>(Day</w:t>
      </w:r>
      <w:r>
        <w:rPr>
          <w:spacing w:val="40"/>
        </w:rPr>
        <w:t> </w:t>
      </w:r>
      <w:r>
        <w:rPr/>
        <w:t>2),</w:t>
      </w:r>
      <w:r>
        <w:rPr>
          <w:spacing w:val="40"/>
        </w:rPr>
        <w:t> </w:t>
      </w:r>
      <w:r>
        <w:rPr/>
        <w:t>recorded</w:t>
      </w:r>
      <w:r>
        <w:rPr>
          <w:spacing w:val="40"/>
        </w:rPr>
        <w:t> </w:t>
      </w:r>
      <w:r>
        <w:rPr/>
        <w:t>significant</w:t>
      </w:r>
      <w:r>
        <w:rPr>
          <w:spacing w:val="40"/>
        </w:rPr>
        <w:t> </w:t>
      </w:r>
      <w:r>
        <w:rPr/>
        <w:t>increase</w:t>
      </w:r>
      <w:r>
        <w:rPr>
          <w:spacing w:val="40"/>
        </w:rPr>
        <w:t> </w:t>
      </w:r>
      <w:r>
        <w:rPr/>
        <w:t>in</w:t>
      </w:r>
      <w:r>
        <w:rPr>
          <w:spacing w:val="40"/>
        </w:rPr>
        <w:t> </w:t>
      </w:r>
      <w:r>
        <w:rPr/>
        <w:t>the mean TLs during the 30 minutes (48.4 ± 12.8 seconds) and two hour exposures (66.8 ± 15.3 seconds), when compared to the corresponding controls (13.6 ± 1.9 seconds) and (22.6 ± 6.6 seconds), respectively. This result suggests decreased ability of the exposed mice to learn (Day 1) and also to recall (Day 2) the learned behaviour. Results of the</w:t>
      </w:r>
      <w:r>
        <w:rPr>
          <w:spacing w:val="40"/>
        </w:rPr>
        <w:t> </w:t>
      </w:r>
      <w:r>
        <w:rPr/>
        <w:t>motor</w:t>
      </w:r>
      <w:r>
        <w:rPr>
          <w:spacing w:val="39"/>
        </w:rPr>
        <w:t> </w:t>
      </w:r>
      <w:r>
        <w:rPr/>
        <w:t>coordination</w:t>
      </w:r>
      <w:r>
        <w:rPr>
          <w:spacing w:val="39"/>
        </w:rPr>
        <w:t> </w:t>
      </w:r>
      <w:r>
        <w:rPr/>
        <w:t>did</w:t>
      </w:r>
      <w:r>
        <w:rPr>
          <w:spacing w:val="40"/>
        </w:rPr>
        <w:t> </w:t>
      </w:r>
      <w:r>
        <w:rPr/>
        <w:t>not</w:t>
      </w:r>
      <w:r>
        <w:rPr>
          <w:spacing w:val="37"/>
        </w:rPr>
        <w:t> </w:t>
      </w:r>
      <w:r>
        <w:rPr/>
        <w:t>show any significant</w:t>
      </w:r>
      <w:r>
        <w:rPr>
          <w:spacing w:val="40"/>
        </w:rPr>
        <w:t> </w:t>
      </w:r>
      <w:r>
        <w:rPr/>
        <w:t>difference</w:t>
      </w:r>
      <w:r>
        <w:rPr>
          <w:spacing w:val="40"/>
        </w:rPr>
        <w:t> </w:t>
      </w:r>
      <w:r>
        <w:rPr/>
        <w:t>in the</w:t>
      </w:r>
      <w:r>
        <w:rPr>
          <w:spacing w:val="40"/>
        </w:rPr>
        <w:t> </w:t>
      </w:r>
      <w:r>
        <w:rPr/>
        <w:t>mean TLs</w:t>
      </w:r>
      <w:r>
        <w:rPr>
          <w:spacing w:val="36"/>
        </w:rPr>
        <w:t> </w:t>
      </w:r>
      <w:r>
        <w:rPr/>
        <w:t>and</w:t>
      </w:r>
      <w:r>
        <w:rPr>
          <w:spacing w:val="40"/>
        </w:rPr>
        <w:t> </w:t>
      </w:r>
      <w:r>
        <w:rPr/>
        <w:t>foot slips in all the</w:t>
      </w:r>
      <w:r>
        <w:rPr>
          <w:spacing w:val="18"/>
        </w:rPr>
        <w:t> </w:t>
      </w:r>
      <w:r>
        <w:rPr/>
        <w:t>three</w:t>
      </w:r>
      <w:r>
        <w:rPr>
          <w:spacing w:val="18"/>
        </w:rPr>
        <w:t> </w:t>
      </w:r>
      <w:r>
        <w:rPr/>
        <w:t>periods of</w:t>
      </w:r>
      <w:r>
        <w:rPr>
          <w:spacing w:val="19"/>
        </w:rPr>
        <w:t> </w:t>
      </w:r>
      <w:r>
        <w:rPr/>
        <w:t>exposure,</w:t>
      </w:r>
      <w:r>
        <w:rPr>
          <w:spacing w:val="18"/>
        </w:rPr>
        <w:t> </w:t>
      </w:r>
      <w:r>
        <w:rPr/>
        <w:t>when compared to</w:t>
      </w:r>
      <w:r>
        <w:rPr>
          <w:spacing w:val="19"/>
        </w:rPr>
        <w:t> </w:t>
      </w:r>
      <w:r>
        <w:rPr/>
        <w:t>the</w:t>
      </w:r>
      <w:r>
        <w:rPr>
          <w:spacing w:val="18"/>
        </w:rPr>
        <w:t> </w:t>
      </w:r>
      <w:r>
        <w:rPr/>
        <w:t>controls.</w:t>
      </w:r>
      <w:r>
        <w:rPr>
          <w:spacing w:val="18"/>
        </w:rPr>
        <w:t> </w:t>
      </w:r>
      <w:r>
        <w:rPr/>
        <w:t>Therefore,</w:t>
      </w:r>
      <w:r>
        <w:rPr>
          <w:spacing w:val="18"/>
        </w:rPr>
        <w:t> </w:t>
      </w:r>
      <w:r>
        <w:rPr/>
        <w:t>CO at this range and periods of exposure could have minimal or no effect on motor coordination in the exposed</w:t>
      </w:r>
      <w:r>
        <w:rPr>
          <w:spacing w:val="27"/>
        </w:rPr>
        <w:t> </w:t>
      </w:r>
      <w:r>
        <w:rPr/>
        <w:t>animals. The blood</w:t>
      </w:r>
      <w:r>
        <w:rPr>
          <w:spacing w:val="27"/>
        </w:rPr>
        <w:t> </w:t>
      </w:r>
      <w:r>
        <w:rPr/>
        <w:t>carboxyhaemoglobin (COHb) measured at the</w:t>
      </w:r>
      <w:r>
        <w:rPr>
          <w:spacing w:val="19"/>
        </w:rPr>
        <w:t> </w:t>
      </w:r>
      <w:r>
        <w:rPr/>
        <w:t>end</w:t>
      </w:r>
      <w:r>
        <w:rPr>
          <w:spacing w:val="20"/>
        </w:rPr>
        <w:t> </w:t>
      </w:r>
      <w:r>
        <w:rPr/>
        <w:t>of the</w:t>
      </w:r>
      <w:r>
        <w:rPr>
          <w:spacing w:val="19"/>
        </w:rPr>
        <w:t> </w:t>
      </w:r>
      <w:r>
        <w:rPr/>
        <w:t>study</w:t>
      </w:r>
      <w:r>
        <w:rPr>
          <w:spacing w:val="-2"/>
        </w:rPr>
        <w:t> </w:t>
      </w:r>
      <w:r>
        <w:rPr/>
        <w:t>showed</w:t>
      </w:r>
      <w:r>
        <w:rPr>
          <w:spacing w:val="20"/>
        </w:rPr>
        <w:t> </w:t>
      </w:r>
      <w:r>
        <w:rPr/>
        <w:t>significant increase</w:t>
      </w:r>
      <w:r>
        <w:rPr>
          <w:spacing w:val="19"/>
        </w:rPr>
        <w:t> </w:t>
      </w:r>
      <w:r>
        <w:rPr/>
        <w:t>in the</w:t>
      </w:r>
      <w:r>
        <w:rPr>
          <w:spacing w:val="19"/>
        </w:rPr>
        <w:t> </w:t>
      </w:r>
      <w:r>
        <w:rPr/>
        <w:t>mean percentage</w:t>
      </w:r>
      <w:r>
        <w:rPr>
          <w:spacing w:val="19"/>
        </w:rPr>
        <w:t> </w:t>
      </w:r>
      <w:r>
        <w:rPr/>
        <w:t>COHb</w:t>
      </w:r>
      <w:r>
        <w:rPr>
          <w:spacing w:val="26"/>
        </w:rPr>
        <w:t> </w:t>
      </w:r>
      <w:r>
        <w:rPr/>
        <w:t>levels of the experimental groups (2.06 ± 0.012 %) as compared to those of the control groups (0.76</w:t>
      </w:r>
      <w:r>
        <w:rPr>
          <w:spacing w:val="40"/>
        </w:rPr>
        <w:t> </w:t>
      </w:r>
      <w:r>
        <w:rPr/>
        <w:t>±</w:t>
      </w:r>
      <w:r>
        <w:rPr>
          <w:spacing w:val="38"/>
        </w:rPr>
        <w:t> </w:t>
      </w:r>
      <w:r>
        <w:rPr/>
        <w:t>0.089</w:t>
      </w:r>
      <w:r>
        <w:rPr>
          <w:spacing w:val="39"/>
        </w:rPr>
        <w:t> </w:t>
      </w:r>
      <w:r>
        <w:rPr/>
        <w:t>%).</w:t>
      </w:r>
      <w:r>
        <w:rPr>
          <w:spacing w:val="38"/>
        </w:rPr>
        <w:t> </w:t>
      </w:r>
      <w:r>
        <w:rPr/>
        <w:t>The</w:t>
      </w:r>
      <w:r>
        <w:rPr>
          <w:spacing w:val="32"/>
        </w:rPr>
        <w:t> </w:t>
      </w:r>
      <w:r>
        <w:rPr/>
        <w:t>results</w:t>
      </w:r>
      <w:r>
        <w:rPr>
          <w:spacing w:val="40"/>
        </w:rPr>
        <w:t> </w:t>
      </w:r>
      <w:r>
        <w:rPr/>
        <w:t>also</w:t>
      </w:r>
      <w:r>
        <w:rPr>
          <w:spacing w:val="39"/>
        </w:rPr>
        <w:t> </w:t>
      </w:r>
      <w:r>
        <w:rPr/>
        <w:t>suggest</w:t>
      </w:r>
      <w:r>
        <w:rPr>
          <w:spacing w:val="37"/>
        </w:rPr>
        <w:t> </w:t>
      </w:r>
      <w:r>
        <w:rPr/>
        <w:t>that</w:t>
      </w:r>
      <w:r>
        <w:rPr>
          <w:spacing w:val="40"/>
        </w:rPr>
        <w:t> </w:t>
      </w:r>
      <w:r>
        <w:rPr/>
        <w:t>impairment</w:t>
      </w:r>
      <w:r>
        <w:rPr>
          <w:spacing w:val="40"/>
        </w:rPr>
        <w:t> </w:t>
      </w:r>
      <w:r>
        <w:rPr/>
        <w:t>in</w:t>
      </w:r>
      <w:r>
        <w:rPr>
          <w:spacing w:val="29"/>
        </w:rPr>
        <w:t> </w:t>
      </w:r>
      <w:r>
        <w:rPr/>
        <w:t>the</w:t>
      </w:r>
      <w:r>
        <w:rPr>
          <w:spacing w:val="38"/>
        </w:rPr>
        <w:t> </w:t>
      </w:r>
      <w:r>
        <w:rPr/>
        <w:t>motor</w:t>
      </w:r>
      <w:r>
        <w:rPr>
          <w:spacing w:val="39"/>
        </w:rPr>
        <w:t> </w:t>
      </w:r>
      <w:r>
        <w:rPr/>
        <w:t>coordination</w:t>
      </w:r>
    </w:p>
    <w:p>
      <w:pPr>
        <w:spacing w:after="0" w:line="369" w:lineRule="auto"/>
        <w:jc w:val="both"/>
        <w:sectPr>
          <w:pgSz w:w="12240" w:h="15840"/>
          <w:pgMar w:header="0" w:footer="916" w:top="1260" w:bottom="1100" w:left="1720" w:right="960"/>
        </w:sectPr>
      </w:pPr>
    </w:p>
    <w:p>
      <w:pPr>
        <w:pStyle w:val="BodyText"/>
        <w:spacing w:line="369" w:lineRule="auto" w:before="75"/>
        <w:ind w:left="665" w:right="897"/>
        <w:jc w:val="both"/>
      </w:pPr>
      <w:r>
        <w:rPr/>
        <w:t>may occur at higher exposure periods to CO. The results corroborate other acute CO exposure studies where neuronal cell death and functional impairment of learning and memory were</w:t>
      </w:r>
      <w:r>
        <w:rPr>
          <w:spacing w:val="40"/>
        </w:rPr>
        <w:t> </w:t>
      </w:r>
      <w:r>
        <w:rPr/>
        <w:t>recorded.</w:t>
      </w:r>
      <w:r>
        <w:rPr>
          <w:spacing w:val="40"/>
        </w:rPr>
        <w:t> </w:t>
      </w:r>
      <w:r>
        <w:rPr/>
        <w:t>In conclusion,</w:t>
      </w:r>
      <w:r>
        <w:rPr>
          <w:spacing w:val="40"/>
        </w:rPr>
        <w:t> </w:t>
      </w:r>
      <w:r>
        <w:rPr/>
        <w:t>exposure</w:t>
      </w:r>
      <w:r>
        <w:rPr>
          <w:spacing w:val="40"/>
        </w:rPr>
        <w:t> </w:t>
      </w:r>
      <w:r>
        <w:rPr/>
        <w:t>to</w:t>
      </w:r>
      <w:r>
        <w:rPr>
          <w:spacing w:val="40"/>
        </w:rPr>
        <w:t> </w:t>
      </w:r>
      <w:r>
        <w:rPr/>
        <w:t>generator</w:t>
      </w:r>
      <w:r>
        <w:rPr>
          <w:spacing w:val="40"/>
        </w:rPr>
        <w:t> </w:t>
      </w:r>
      <w:r>
        <w:rPr/>
        <w:t>exhaust</w:t>
      </w:r>
      <w:r>
        <w:rPr>
          <w:spacing w:val="40"/>
        </w:rPr>
        <w:t> </w:t>
      </w:r>
      <w:r>
        <w:rPr/>
        <w:t>fumes</w:t>
      </w:r>
      <w:r>
        <w:rPr>
          <w:spacing w:val="40"/>
        </w:rPr>
        <w:t> </w:t>
      </w:r>
      <w:r>
        <w:rPr/>
        <w:t>that produced 100 – 150 ppm of CO resulted in enhanced learning behaviour during the 30 minutes exposure, impaired learning at 1 hour; memory at 30 minutes and 2 hours, respectively.</w:t>
      </w:r>
      <w:r>
        <w:rPr>
          <w:spacing w:val="40"/>
        </w:rPr>
        <w:t> </w:t>
      </w:r>
      <w:r>
        <w:rPr/>
        <w:t>Motor</w:t>
      </w:r>
      <w:r>
        <w:rPr>
          <w:spacing w:val="40"/>
        </w:rPr>
        <w:t> </w:t>
      </w:r>
      <w:r>
        <w:rPr/>
        <w:t>coordination</w:t>
      </w:r>
      <w:r>
        <w:rPr>
          <w:spacing w:val="40"/>
        </w:rPr>
        <w:t> </w:t>
      </w:r>
      <w:r>
        <w:rPr/>
        <w:t>deficits</w:t>
      </w:r>
      <w:r>
        <w:rPr>
          <w:spacing w:val="40"/>
        </w:rPr>
        <w:t> </w:t>
      </w:r>
      <w:r>
        <w:rPr/>
        <w:t>may</w:t>
      </w:r>
      <w:r>
        <w:rPr>
          <w:spacing w:val="36"/>
        </w:rPr>
        <w:t> </w:t>
      </w:r>
      <w:r>
        <w:rPr/>
        <w:t>be</w:t>
      </w:r>
      <w:r>
        <w:rPr>
          <w:spacing w:val="40"/>
        </w:rPr>
        <w:t> </w:t>
      </w:r>
      <w:r>
        <w:rPr/>
        <w:t>affected</w:t>
      </w:r>
      <w:r>
        <w:rPr>
          <w:spacing w:val="40"/>
        </w:rPr>
        <w:t> </w:t>
      </w:r>
      <w:r>
        <w:rPr/>
        <w:t>at</w:t>
      </w:r>
      <w:r>
        <w:rPr>
          <w:spacing w:val="40"/>
        </w:rPr>
        <w:t> </w:t>
      </w:r>
      <w:r>
        <w:rPr/>
        <w:t>higher</w:t>
      </w:r>
      <w:r>
        <w:rPr>
          <w:spacing w:val="40"/>
        </w:rPr>
        <w:t> </w:t>
      </w:r>
      <w:r>
        <w:rPr/>
        <w:t>CO</w:t>
      </w:r>
      <w:r>
        <w:rPr>
          <w:spacing w:val="40"/>
        </w:rPr>
        <w:t> </w:t>
      </w:r>
      <w:r>
        <w:rPr/>
        <w:t>concentration and blood COHb suggested exogenous intake in the experimental mice.</w:t>
      </w:r>
    </w:p>
    <w:p>
      <w:pPr>
        <w:spacing w:after="0" w:line="369" w:lineRule="auto"/>
        <w:jc w:val="both"/>
        <w:sectPr>
          <w:pgSz w:w="12240" w:h="15840"/>
          <w:pgMar w:header="0" w:footer="916" w:top="1260" w:bottom="1100" w:left="1720" w:right="960"/>
        </w:sectPr>
      </w:pPr>
    </w:p>
    <w:p>
      <w:pPr>
        <w:pStyle w:val="Heading2"/>
        <w:ind w:right="240"/>
        <w:jc w:val="center"/>
      </w:pPr>
      <w:bookmarkStart w:name="_TOC_250052" w:id="5"/>
      <w:r>
        <w:rPr/>
        <w:t>TABLE</w:t>
      </w:r>
      <w:r>
        <w:rPr>
          <w:spacing w:val="9"/>
        </w:rPr>
        <w:t> </w:t>
      </w:r>
      <w:r>
        <w:rPr/>
        <w:t>OF</w:t>
      </w:r>
      <w:r>
        <w:rPr>
          <w:spacing w:val="8"/>
        </w:rPr>
        <w:t> </w:t>
      </w:r>
      <w:bookmarkEnd w:id="5"/>
      <w:r>
        <w:rPr>
          <w:spacing w:val="-2"/>
        </w:rPr>
        <w:t>CONTENTS</w:t>
      </w:r>
    </w:p>
    <w:p>
      <w:pPr>
        <w:pStyle w:val="BodyText"/>
        <w:rPr>
          <w:b/>
        </w:rPr>
      </w:pPr>
    </w:p>
    <w:p>
      <w:pPr>
        <w:pStyle w:val="BodyText"/>
        <w:rPr>
          <w:b/>
        </w:rPr>
      </w:pPr>
    </w:p>
    <w:p>
      <w:pPr>
        <w:pStyle w:val="BodyText"/>
        <w:spacing w:before="25"/>
        <w:rPr>
          <w:b/>
        </w:rPr>
      </w:pPr>
    </w:p>
    <w:p>
      <w:pPr>
        <w:tabs>
          <w:tab w:pos="7223" w:val="left" w:leader="none"/>
        </w:tabs>
        <w:spacing w:before="0"/>
        <w:ind w:left="0" w:right="253" w:firstLine="0"/>
        <w:jc w:val="center"/>
        <w:rPr>
          <w:b/>
          <w:sz w:val="22"/>
        </w:rPr>
      </w:pPr>
      <w:r>
        <w:rPr>
          <w:b/>
          <w:spacing w:val="-2"/>
          <w:sz w:val="22"/>
        </w:rPr>
        <w:t>TITLE</w:t>
      </w:r>
      <w:r>
        <w:rPr>
          <w:b/>
          <w:sz w:val="22"/>
        </w:rPr>
        <w:tab/>
      </w:r>
      <w:r>
        <w:rPr>
          <w:b/>
          <w:spacing w:val="-2"/>
          <w:sz w:val="22"/>
        </w:rPr>
        <w:t>PAGES</w:t>
      </w:r>
    </w:p>
    <w:p>
      <w:pPr>
        <w:pStyle w:val="BodyText"/>
        <w:spacing w:before="7"/>
        <w:rPr>
          <w:b/>
        </w:rPr>
      </w:pPr>
    </w:p>
    <w:p>
      <w:pPr>
        <w:pStyle w:val="BodyText"/>
        <w:tabs>
          <w:tab w:pos="8110" w:val="left" w:leader="none"/>
        </w:tabs>
        <w:ind w:left="665"/>
      </w:pPr>
      <w:r>
        <w:rPr/>
        <w:t>Title</w:t>
      </w:r>
      <w:r>
        <w:rPr>
          <w:spacing w:val="7"/>
        </w:rPr>
        <w:t> </w:t>
      </w:r>
      <w:r>
        <w:rPr>
          <w:spacing w:val="-4"/>
        </w:rPr>
        <w:t>page</w:t>
      </w:r>
      <w:r>
        <w:rPr/>
        <w:tab/>
      </w:r>
      <w:r>
        <w:rPr>
          <w:spacing w:val="-10"/>
        </w:rPr>
        <w:t>I</w:t>
      </w:r>
    </w:p>
    <w:p>
      <w:pPr>
        <w:spacing w:after="0"/>
        <w:sectPr>
          <w:pgSz w:w="12240" w:h="15840"/>
          <w:pgMar w:header="0" w:footer="916" w:top="1260" w:bottom="1780" w:left="1720" w:right="960"/>
        </w:sectPr>
      </w:pPr>
    </w:p>
    <w:sdt>
      <w:sdtPr>
        <w:docPartObj>
          <w:docPartGallery w:val="Table of Contents"/>
          <w:docPartUnique/>
        </w:docPartObj>
      </w:sdtPr>
      <w:sdtEndPr/>
      <w:sdtContent>
        <w:p>
          <w:pPr>
            <w:pStyle w:val="TOC3"/>
            <w:tabs>
              <w:tab w:pos="8334" w:val="right" w:leader="none"/>
            </w:tabs>
            <w:spacing w:before="266"/>
            <w:ind w:firstLine="0"/>
          </w:pPr>
          <w:hyperlink w:history="true" w:anchor="_TOC_250056">
            <w:r>
              <w:rPr>
                <w:spacing w:val="-2"/>
              </w:rPr>
              <w:t>Declaration</w:t>
            </w:r>
            <w:r>
              <w:rPr/>
              <w:tab/>
            </w:r>
            <w:r>
              <w:rPr>
                <w:spacing w:val="-5"/>
              </w:rPr>
              <w:t>III</w:t>
            </w:r>
          </w:hyperlink>
        </w:p>
        <w:p>
          <w:pPr>
            <w:pStyle w:val="TOC3"/>
            <w:tabs>
              <w:tab w:pos="8349" w:val="right" w:leader="none"/>
            </w:tabs>
            <w:ind w:firstLine="0"/>
          </w:pPr>
          <w:hyperlink w:history="true" w:anchor="_TOC_250055">
            <w:r>
              <w:rPr>
                <w:spacing w:val="-2"/>
              </w:rPr>
              <w:t>Certification</w:t>
            </w:r>
            <w:r>
              <w:rPr/>
              <w:tab/>
            </w:r>
            <w:r>
              <w:rPr>
                <w:spacing w:val="-5"/>
              </w:rPr>
              <w:t>IV</w:t>
            </w:r>
          </w:hyperlink>
        </w:p>
        <w:p>
          <w:pPr>
            <w:pStyle w:val="TOC3"/>
            <w:tabs>
              <w:tab w:pos="8272" w:val="right" w:leader="none"/>
            </w:tabs>
            <w:spacing w:before="266"/>
            <w:ind w:firstLine="0"/>
          </w:pPr>
          <w:hyperlink w:history="true" w:anchor="_TOC_250054">
            <w:r>
              <w:rPr>
                <w:spacing w:val="-2"/>
              </w:rPr>
              <w:t>Dedication</w:t>
            </w:r>
            <w:r>
              <w:rPr/>
              <w:tab/>
            </w:r>
            <w:r>
              <w:rPr>
                <w:spacing w:val="-10"/>
              </w:rPr>
              <w:t>V</w:t>
            </w:r>
          </w:hyperlink>
        </w:p>
        <w:p>
          <w:pPr>
            <w:pStyle w:val="TOC3"/>
            <w:tabs>
              <w:tab w:pos="8348" w:val="right" w:leader="none"/>
            </w:tabs>
            <w:ind w:firstLine="0"/>
          </w:pPr>
          <w:r>
            <w:rPr>
              <w:spacing w:val="-2"/>
            </w:rPr>
            <w:t>Acknowledgements</w:t>
          </w:r>
          <w:r>
            <w:rPr/>
            <w:tab/>
          </w:r>
          <w:r>
            <w:rPr>
              <w:spacing w:val="-5"/>
            </w:rPr>
            <w:t>VI</w:t>
          </w:r>
        </w:p>
        <w:p>
          <w:pPr>
            <w:pStyle w:val="TOC3"/>
            <w:tabs>
              <w:tab w:pos="8497" w:val="right" w:leader="none"/>
            </w:tabs>
            <w:spacing w:before="266"/>
            <w:ind w:firstLine="0"/>
          </w:pPr>
          <w:hyperlink w:history="true" w:anchor="_TOC_250053">
            <w:r>
              <w:rPr>
                <w:spacing w:val="-2"/>
              </w:rPr>
              <w:t>Abstract</w:t>
            </w:r>
            <w:r>
              <w:rPr/>
              <w:tab/>
            </w:r>
            <w:r>
              <w:rPr>
                <w:spacing w:val="-4"/>
              </w:rPr>
              <w:t>VIII</w:t>
            </w:r>
          </w:hyperlink>
        </w:p>
        <w:p>
          <w:pPr>
            <w:pStyle w:val="TOC3"/>
            <w:tabs>
              <w:tab w:pos="8272" w:val="right" w:leader="none"/>
            </w:tabs>
            <w:ind w:firstLine="0"/>
          </w:pPr>
          <w:hyperlink w:history="true" w:anchor="_TOC_250052">
            <w:r>
              <w:rPr/>
              <w:t>Table</w:t>
            </w:r>
            <w:r>
              <w:rPr>
                <w:spacing w:val="7"/>
              </w:rPr>
              <w:t> </w:t>
            </w:r>
            <w:r>
              <w:rPr/>
              <w:t>of</w:t>
            </w:r>
            <w:r>
              <w:rPr>
                <w:spacing w:val="8"/>
              </w:rPr>
              <w:t> </w:t>
            </w:r>
            <w:r>
              <w:rPr>
                <w:spacing w:val="-2"/>
              </w:rPr>
              <w:t>contents</w:t>
            </w:r>
            <w:r>
              <w:rPr/>
              <w:tab/>
            </w:r>
            <w:r>
              <w:rPr>
                <w:spacing w:val="-10"/>
              </w:rPr>
              <w:t>X</w:t>
            </w:r>
          </w:hyperlink>
        </w:p>
        <w:p>
          <w:pPr>
            <w:pStyle w:val="TOC3"/>
            <w:tabs>
              <w:tab w:pos="8512" w:val="right" w:leader="none"/>
            </w:tabs>
            <w:spacing w:before="270"/>
            <w:ind w:firstLine="0"/>
          </w:pPr>
          <w:hyperlink w:history="true" w:anchor="_TOC_250051">
            <w:r>
              <w:rPr/>
              <w:t>List</w:t>
            </w:r>
            <w:r>
              <w:rPr>
                <w:spacing w:val="9"/>
              </w:rPr>
              <w:t> </w:t>
            </w:r>
            <w:r>
              <w:rPr/>
              <w:t>of</w:t>
            </w:r>
            <w:r>
              <w:rPr>
                <w:spacing w:val="7"/>
              </w:rPr>
              <w:t> </w:t>
            </w:r>
            <w:r>
              <w:rPr>
                <w:spacing w:val="-2"/>
              </w:rPr>
              <w:t>Figures</w:t>
            </w:r>
            <w:r>
              <w:rPr/>
              <w:tab/>
            </w:r>
            <w:r>
              <w:rPr>
                <w:spacing w:val="-5"/>
              </w:rPr>
              <w:t>XIV</w:t>
            </w:r>
          </w:hyperlink>
        </w:p>
        <w:p>
          <w:pPr>
            <w:pStyle w:val="TOC3"/>
            <w:tabs>
              <w:tab w:pos="8435" w:val="right" w:leader="none"/>
            </w:tabs>
            <w:spacing w:before="266"/>
            <w:ind w:firstLine="0"/>
          </w:pPr>
          <w:hyperlink w:history="true" w:anchor="_TOC_250050">
            <w:r>
              <w:rPr/>
              <w:t>List</w:t>
            </w:r>
            <w:r>
              <w:rPr>
                <w:spacing w:val="9"/>
              </w:rPr>
              <w:t> </w:t>
            </w:r>
            <w:r>
              <w:rPr/>
              <w:t>of</w:t>
            </w:r>
            <w:r>
              <w:rPr>
                <w:spacing w:val="7"/>
              </w:rPr>
              <w:t> </w:t>
            </w:r>
            <w:r>
              <w:rPr>
                <w:spacing w:val="-2"/>
              </w:rPr>
              <w:t>Tables</w:t>
            </w:r>
            <w:r>
              <w:rPr/>
              <w:tab/>
            </w:r>
            <w:r>
              <w:rPr>
                <w:spacing w:val="-5"/>
              </w:rPr>
              <w:t>XV</w:t>
            </w:r>
          </w:hyperlink>
        </w:p>
        <w:p>
          <w:pPr>
            <w:pStyle w:val="TOC3"/>
            <w:tabs>
              <w:tab w:pos="8511" w:val="right" w:leader="none"/>
            </w:tabs>
            <w:ind w:firstLine="0"/>
          </w:pPr>
          <w:hyperlink w:history="true" w:anchor="_TOC_250049">
            <w:r>
              <w:rPr/>
              <w:t>List</w:t>
            </w:r>
            <w:r>
              <w:rPr>
                <w:spacing w:val="9"/>
              </w:rPr>
              <w:t> </w:t>
            </w:r>
            <w:r>
              <w:rPr/>
              <w:t>of</w:t>
            </w:r>
            <w:r>
              <w:rPr>
                <w:spacing w:val="7"/>
              </w:rPr>
              <w:t> </w:t>
            </w:r>
            <w:r>
              <w:rPr>
                <w:spacing w:val="-2"/>
              </w:rPr>
              <w:t>Appendices</w:t>
            </w:r>
            <w:r>
              <w:rPr/>
              <w:tab/>
            </w:r>
            <w:r>
              <w:rPr>
                <w:spacing w:val="-5"/>
              </w:rPr>
              <w:t>XVI</w:t>
            </w:r>
          </w:hyperlink>
        </w:p>
        <w:p>
          <w:pPr>
            <w:pStyle w:val="TOC3"/>
            <w:tabs>
              <w:tab w:pos="8588" w:val="right" w:leader="none"/>
            </w:tabs>
            <w:ind w:firstLine="0"/>
          </w:pPr>
          <w:hyperlink w:history="true" w:anchor="_TOC_250048">
            <w:r>
              <w:rPr>
                <w:spacing w:val="-2"/>
              </w:rPr>
              <w:t>Abbreviations</w:t>
            </w:r>
            <w:r>
              <w:rPr/>
              <w:tab/>
            </w:r>
            <w:r>
              <w:rPr>
                <w:spacing w:val="-4"/>
              </w:rPr>
              <w:t>XVII</w:t>
            </w:r>
          </w:hyperlink>
        </w:p>
        <w:p>
          <w:pPr>
            <w:pStyle w:val="TOC1"/>
            <w:tabs>
              <w:tab w:pos="8222" w:val="right" w:leader="none"/>
            </w:tabs>
            <w:spacing w:before="271"/>
          </w:pPr>
          <w:hyperlink w:history="true" w:anchor="_TOC_250047">
            <w:r>
              <w:rPr/>
              <w:t>CHAPTER</w:t>
            </w:r>
            <w:r>
              <w:rPr>
                <w:spacing w:val="17"/>
              </w:rPr>
              <w:t> </w:t>
            </w:r>
            <w:r>
              <w:rPr>
                <w:spacing w:val="-5"/>
              </w:rPr>
              <w:t>ONE</w:t>
            </w:r>
            <w:r>
              <w:rPr/>
              <w:tab/>
            </w:r>
            <w:r>
              <w:rPr>
                <w:spacing w:val="-10"/>
              </w:rPr>
              <w:t>1</w:t>
            </w:r>
          </w:hyperlink>
        </w:p>
        <w:p>
          <w:pPr>
            <w:pStyle w:val="TOC2"/>
            <w:numPr>
              <w:ilvl w:val="1"/>
              <w:numId w:val="1"/>
            </w:numPr>
            <w:tabs>
              <w:tab w:pos="1008" w:val="left" w:leader="none"/>
              <w:tab w:pos="8222" w:val="right" w:leader="none"/>
            </w:tabs>
            <w:spacing w:line="240" w:lineRule="auto" w:before="260" w:after="0"/>
            <w:ind w:left="1008" w:right="0" w:hanging="343"/>
            <w:jc w:val="left"/>
          </w:pPr>
          <w:hyperlink w:history="true" w:anchor="_TOC_250046">
            <w:r>
              <w:rPr>
                <w:spacing w:val="-2"/>
              </w:rPr>
              <w:t>INTRODUCTION</w:t>
            </w:r>
            <w:r>
              <w:rPr/>
              <w:tab/>
            </w:r>
            <w:r>
              <w:rPr>
                <w:spacing w:val="-10"/>
              </w:rPr>
              <w:t>1</w:t>
            </w:r>
          </w:hyperlink>
        </w:p>
        <w:p>
          <w:pPr>
            <w:pStyle w:val="TOC2"/>
            <w:numPr>
              <w:ilvl w:val="1"/>
              <w:numId w:val="1"/>
            </w:numPr>
            <w:tabs>
              <w:tab w:pos="1008" w:val="left" w:leader="none"/>
              <w:tab w:pos="8222" w:val="right" w:leader="none"/>
            </w:tabs>
            <w:spacing w:line="240" w:lineRule="auto" w:before="266" w:after="0"/>
            <w:ind w:left="1008" w:right="0" w:hanging="343"/>
            <w:jc w:val="left"/>
          </w:pPr>
          <w:hyperlink w:history="true" w:anchor="_TOC_250045">
            <w:r>
              <w:rPr/>
              <w:t>COMPONENTS</w:t>
            </w:r>
            <w:r>
              <w:rPr>
                <w:spacing w:val="12"/>
              </w:rPr>
              <w:t> </w:t>
            </w:r>
            <w:r>
              <w:rPr/>
              <w:t>OF</w:t>
            </w:r>
            <w:r>
              <w:rPr>
                <w:spacing w:val="18"/>
              </w:rPr>
              <w:t> </w:t>
            </w:r>
            <w:r>
              <w:rPr/>
              <w:t>AN</w:t>
            </w:r>
            <w:r>
              <w:rPr>
                <w:spacing w:val="8"/>
              </w:rPr>
              <w:t> </w:t>
            </w:r>
            <w:r>
              <w:rPr>
                <w:spacing w:val="-2"/>
              </w:rPr>
              <w:t>EXHAUST</w:t>
            </w:r>
            <w:r>
              <w:rPr/>
              <w:tab/>
            </w:r>
            <w:r>
              <w:rPr>
                <w:spacing w:val="-10"/>
              </w:rPr>
              <w:t>4</w:t>
            </w:r>
          </w:hyperlink>
        </w:p>
        <w:p>
          <w:pPr>
            <w:pStyle w:val="TOC2"/>
            <w:numPr>
              <w:ilvl w:val="1"/>
              <w:numId w:val="1"/>
            </w:numPr>
            <w:tabs>
              <w:tab w:pos="1008" w:val="left" w:leader="none"/>
              <w:tab w:pos="8222" w:val="right" w:leader="none"/>
            </w:tabs>
            <w:spacing w:line="240" w:lineRule="auto" w:before="265" w:after="0"/>
            <w:ind w:left="1008" w:right="0" w:hanging="343"/>
            <w:jc w:val="left"/>
          </w:pPr>
          <w:hyperlink w:history="true" w:anchor="_TOC_250044">
            <w:r>
              <w:rPr/>
              <w:t>STATEMENT</w:t>
            </w:r>
            <w:r>
              <w:rPr>
                <w:spacing w:val="19"/>
              </w:rPr>
              <w:t> </w:t>
            </w:r>
            <w:r>
              <w:rPr/>
              <w:t>OF</w:t>
            </w:r>
            <w:r>
              <w:rPr>
                <w:spacing w:val="11"/>
              </w:rPr>
              <w:t> </w:t>
            </w:r>
            <w:r>
              <w:rPr/>
              <w:t>RESEARCH</w:t>
            </w:r>
            <w:r>
              <w:rPr>
                <w:spacing w:val="12"/>
              </w:rPr>
              <w:t> </w:t>
            </w:r>
            <w:r>
              <w:rPr>
                <w:spacing w:val="-2"/>
              </w:rPr>
              <w:t>PROBLEM</w:t>
            </w:r>
            <w:r>
              <w:rPr/>
              <w:tab/>
            </w:r>
            <w:r>
              <w:rPr>
                <w:spacing w:val="-10"/>
              </w:rPr>
              <w:t>9</w:t>
            </w:r>
          </w:hyperlink>
        </w:p>
        <w:p>
          <w:pPr>
            <w:pStyle w:val="TOC2"/>
            <w:numPr>
              <w:ilvl w:val="1"/>
              <w:numId w:val="1"/>
            </w:numPr>
            <w:tabs>
              <w:tab w:pos="1003" w:val="left" w:leader="none"/>
              <w:tab w:pos="8337" w:val="right" w:leader="none"/>
            </w:tabs>
            <w:spacing w:line="240" w:lineRule="auto" w:before="266" w:after="0"/>
            <w:ind w:left="1003" w:right="0" w:hanging="338"/>
            <w:jc w:val="left"/>
          </w:pPr>
          <w:hyperlink w:history="true" w:anchor="_TOC_250043">
            <w:r>
              <w:rPr>
                <w:spacing w:val="-2"/>
              </w:rPr>
              <w:t>JUSTIFICATION</w:t>
            </w:r>
            <w:r>
              <w:rPr/>
              <w:tab/>
            </w:r>
            <w:r>
              <w:rPr>
                <w:spacing w:val="-5"/>
              </w:rPr>
              <w:t>12</w:t>
            </w:r>
          </w:hyperlink>
        </w:p>
        <w:p>
          <w:pPr>
            <w:pStyle w:val="TOC2"/>
            <w:numPr>
              <w:ilvl w:val="1"/>
              <w:numId w:val="1"/>
            </w:numPr>
            <w:tabs>
              <w:tab w:pos="1008" w:val="left" w:leader="none"/>
              <w:tab w:pos="8337" w:val="right" w:leader="none"/>
            </w:tabs>
            <w:spacing w:line="240" w:lineRule="auto" w:before="265" w:after="0"/>
            <w:ind w:left="1008" w:right="0" w:hanging="343"/>
            <w:jc w:val="left"/>
          </w:pPr>
          <w:hyperlink w:history="true" w:anchor="_TOC_250042">
            <w:r>
              <w:rPr/>
              <w:t>AIM</w:t>
            </w:r>
            <w:r>
              <w:rPr>
                <w:spacing w:val="10"/>
              </w:rPr>
              <w:t> </w:t>
            </w:r>
            <w:r>
              <w:rPr/>
              <w:t>AND</w:t>
            </w:r>
            <w:r>
              <w:rPr>
                <w:spacing w:val="5"/>
              </w:rPr>
              <w:t> </w:t>
            </w:r>
            <w:r>
              <w:rPr>
                <w:spacing w:val="-2"/>
              </w:rPr>
              <w:t>OBJECTIVES</w:t>
            </w:r>
            <w:r>
              <w:rPr/>
              <w:tab/>
            </w:r>
            <w:r>
              <w:rPr>
                <w:spacing w:val="-5"/>
              </w:rPr>
              <w:t>13</w:t>
            </w:r>
          </w:hyperlink>
        </w:p>
        <w:p>
          <w:pPr>
            <w:pStyle w:val="TOC2"/>
            <w:numPr>
              <w:ilvl w:val="1"/>
              <w:numId w:val="1"/>
            </w:numPr>
            <w:tabs>
              <w:tab w:pos="1008" w:val="left" w:leader="none"/>
              <w:tab w:pos="8337" w:val="right" w:leader="none"/>
            </w:tabs>
            <w:spacing w:line="240" w:lineRule="auto" w:before="270" w:after="0"/>
            <w:ind w:left="1008" w:right="0" w:hanging="343"/>
            <w:jc w:val="left"/>
          </w:pPr>
          <w:hyperlink w:history="true" w:anchor="_TOC_250041">
            <w:r>
              <w:rPr/>
              <w:t>RESEARCH</w:t>
            </w:r>
            <w:r>
              <w:rPr>
                <w:spacing w:val="15"/>
              </w:rPr>
              <w:t> </w:t>
            </w:r>
            <w:r>
              <w:rPr>
                <w:spacing w:val="-2"/>
              </w:rPr>
              <w:t>HYPOTHESIS</w:t>
            </w:r>
            <w:r>
              <w:rPr/>
              <w:tab/>
            </w:r>
            <w:r>
              <w:rPr>
                <w:spacing w:val="-5"/>
              </w:rPr>
              <w:t>13</w:t>
            </w:r>
          </w:hyperlink>
        </w:p>
        <w:p>
          <w:pPr>
            <w:pStyle w:val="TOC1"/>
            <w:tabs>
              <w:tab w:pos="8337" w:val="right" w:leader="none"/>
            </w:tabs>
          </w:pPr>
          <w:hyperlink w:history="true" w:anchor="_TOC_250040">
            <w:r>
              <w:rPr/>
              <w:t>CHAPTER</w:t>
            </w:r>
            <w:r>
              <w:rPr>
                <w:spacing w:val="17"/>
              </w:rPr>
              <w:t> </w:t>
            </w:r>
            <w:r>
              <w:rPr>
                <w:spacing w:val="-5"/>
              </w:rPr>
              <w:t>TWO</w:t>
            </w:r>
            <w:r>
              <w:rPr/>
              <w:tab/>
            </w:r>
            <w:r>
              <w:rPr>
                <w:spacing w:val="-5"/>
              </w:rPr>
              <w:t>14</w:t>
            </w:r>
          </w:hyperlink>
        </w:p>
        <w:p>
          <w:pPr>
            <w:pStyle w:val="TOC2"/>
            <w:numPr>
              <w:ilvl w:val="1"/>
              <w:numId w:val="2"/>
            </w:numPr>
            <w:tabs>
              <w:tab w:pos="1009" w:val="left" w:leader="none"/>
              <w:tab w:pos="8337" w:val="right" w:leader="none"/>
            </w:tabs>
            <w:spacing w:line="240" w:lineRule="auto" w:before="261" w:after="0"/>
            <w:ind w:left="1009" w:right="0" w:hanging="344"/>
            <w:jc w:val="left"/>
          </w:pPr>
          <w:hyperlink w:history="true" w:anchor="_TOC_250039">
            <w:r>
              <w:rPr/>
              <w:t>LITERATURE</w:t>
            </w:r>
            <w:r>
              <w:rPr>
                <w:spacing w:val="18"/>
              </w:rPr>
              <w:t> </w:t>
            </w:r>
            <w:r>
              <w:rPr>
                <w:spacing w:val="-2"/>
              </w:rPr>
              <w:t>REVIEW</w:t>
            </w:r>
            <w:r>
              <w:rPr/>
              <w:tab/>
            </w:r>
            <w:r>
              <w:rPr>
                <w:spacing w:val="-5"/>
              </w:rPr>
              <w:t>14</w:t>
            </w:r>
          </w:hyperlink>
        </w:p>
        <w:p>
          <w:pPr>
            <w:pStyle w:val="TOC2"/>
            <w:numPr>
              <w:ilvl w:val="1"/>
              <w:numId w:val="2"/>
            </w:numPr>
            <w:tabs>
              <w:tab w:pos="1008" w:val="left" w:leader="none"/>
              <w:tab w:pos="8337" w:val="right" w:leader="none"/>
            </w:tabs>
            <w:spacing w:line="240" w:lineRule="auto" w:before="265" w:after="0"/>
            <w:ind w:left="1008" w:right="0" w:hanging="343"/>
            <w:jc w:val="left"/>
          </w:pPr>
          <w:r>
            <w:rPr/>
            <w:t>NEUROTOXICITY</w:t>
          </w:r>
          <w:r>
            <w:rPr>
              <w:spacing w:val="15"/>
            </w:rPr>
            <w:t> </w:t>
          </w:r>
          <w:r>
            <w:rPr/>
            <w:t>OF</w:t>
          </w:r>
          <w:r>
            <w:rPr>
              <w:spacing w:val="21"/>
            </w:rPr>
            <w:t> </w:t>
          </w:r>
          <w:r>
            <w:rPr/>
            <w:t>CARBON</w:t>
          </w:r>
          <w:r>
            <w:rPr>
              <w:spacing w:val="16"/>
            </w:rPr>
            <w:t> </w:t>
          </w:r>
          <w:r>
            <w:rPr>
              <w:spacing w:val="-2"/>
            </w:rPr>
            <w:t>MONOXIDE</w:t>
          </w:r>
          <w:r>
            <w:rPr/>
            <w:tab/>
          </w:r>
          <w:r>
            <w:rPr>
              <w:spacing w:val="-5"/>
            </w:rPr>
            <w:t>14</w:t>
          </w:r>
        </w:p>
        <w:p>
          <w:pPr>
            <w:pStyle w:val="TOC3"/>
            <w:numPr>
              <w:ilvl w:val="2"/>
              <w:numId w:val="2"/>
            </w:numPr>
            <w:tabs>
              <w:tab w:pos="1171" w:val="left" w:leader="none"/>
              <w:tab w:pos="8337" w:val="right" w:leader="none"/>
            </w:tabs>
            <w:spacing w:line="240" w:lineRule="auto" w:before="266" w:after="20"/>
            <w:ind w:left="1171" w:right="0" w:hanging="506"/>
            <w:jc w:val="left"/>
          </w:pPr>
          <w:hyperlink w:history="true" w:anchor="_TOC_250038">
            <w:r>
              <w:rPr/>
              <w:t>Factors</w:t>
            </w:r>
            <w:r>
              <w:rPr>
                <w:spacing w:val="8"/>
              </w:rPr>
              <w:t> </w:t>
            </w:r>
            <w:r>
              <w:rPr/>
              <w:t>rendering</w:t>
            </w:r>
            <w:r>
              <w:rPr>
                <w:spacing w:val="8"/>
              </w:rPr>
              <w:t> </w:t>
            </w:r>
            <w:r>
              <w:rPr/>
              <w:t>the</w:t>
            </w:r>
            <w:r>
              <w:rPr>
                <w:spacing w:val="11"/>
              </w:rPr>
              <w:t> </w:t>
            </w:r>
            <w:r>
              <w:rPr/>
              <w:t>Nervous</w:t>
            </w:r>
            <w:r>
              <w:rPr>
                <w:spacing w:val="9"/>
              </w:rPr>
              <w:t> </w:t>
            </w:r>
            <w:r>
              <w:rPr/>
              <w:t>system</w:t>
            </w:r>
            <w:r>
              <w:rPr>
                <w:spacing w:val="12"/>
              </w:rPr>
              <w:t> </w:t>
            </w:r>
            <w:r>
              <w:rPr/>
              <w:t>susceptible</w:t>
            </w:r>
            <w:r>
              <w:rPr>
                <w:spacing w:val="11"/>
              </w:rPr>
              <w:t> </w:t>
            </w:r>
            <w:r>
              <w:rPr/>
              <w:t>to</w:t>
            </w:r>
            <w:r>
              <w:rPr>
                <w:spacing w:val="18"/>
              </w:rPr>
              <w:t> </w:t>
            </w:r>
            <w:r>
              <w:rPr/>
              <w:t>toxic</w:t>
            </w:r>
            <w:r>
              <w:rPr>
                <w:spacing w:val="12"/>
              </w:rPr>
              <w:t> </w:t>
            </w:r>
            <w:r>
              <w:rPr>
                <w:spacing w:val="-2"/>
              </w:rPr>
              <w:t>injuries</w:t>
            </w:r>
            <w:r>
              <w:rPr/>
              <w:tab/>
            </w:r>
            <w:r>
              <w:rPr>
                <w:spacing w:val="-5"/>
              </w:rPr>
              <w:t>15</w:t>
            </w:r>
          </w:hyperlink>
        </w:p>
        <w:p>
          <w:pPr>
            <w:pStyle w:val="TOC2"/>
            <w:numPr>
              <w:ilvl w:val="1"/>
              <w:numId w:val="2"/>
            </w:numPr>
            <w:tabs>
              <w:tab w:pos="1003" w:val="left" w:leader="none"/>
              <w:tab w:pos="8110" w:val="left" w:leader="none"/>
            </w:tabs>
            <w:spacing w:line="240" w:lineRule="auto" w:before="75" w:after="0"/>
            <w:ind w:left="1003" w:right="0" w:hanging="338"/>
            <w:jc w:val="left"/>
          </w:pPr>
          <w:r>
            <w:rPr/>
            <w:t>MECHANISMS</w:t>
          </w:r>
          <w:r>
            <w:rPr>
              <w:spacing w:val="21"/>
            </w:rPr>
            <w:t> </w:t>
          </w:r>
          <w:r>
            <w:rPr/>
            <w:t>OF</w:t>
          </w:r>
          <w:r>
            <w:rPr>
              <w:spacing w:val="17"/>
            </w:rPr>
            <w:t> </w:t>
          </w:r>
          <w:r>
            <w:rPr/>
            <w:t>CARBON</w:t>
          </w:r>
          <w:r>
            <w:rPr>
              <w:spacing w:val="17"/>
            </w:rPr>
            <w:t> </w:t>
          </w:r>
          <w:r>
            <w:rPr/>
            <w:t>MONOXIDE</w:t>
          </w:r>
          <w:r>
            <w:rPr>
              <w:spacing w:val="20"/>
            </w:rPr>
            <w:t> </w:t>
          </w:r>
          <w:r>
            <w:rPr>
              <w:spacing w:val="-2"/>
            </w:rPr>
            <w:t>TOXICITY</w:t>
          </w:r>
          <w:r>
            <w:rPr/>
            <w:tab/>
          </w:r>
          <w:r>
            <w:rPr>
              <w:spacing w:val="-5"/>
            </w:rPr>
            <w:t>16</w:t>
          </w:r>
        </w:p>
        <w:p>
          <w:pPr>
            <w:pStyle w:val="TOC3"/>
            <w:numPr>
              <w:ilvl w:val="2"/>
              <w:numId w:val="3"/>
            </w:numPr>
            <w:tabs>
              <w:tab w:pos="1232" w:val="left" w:leader="none"/>
              <w:tab w:pos="8110" w:val="left" w:leader="none"/>
            </w:tabs>
            <w:spacing w:line="240" w:lineRule="auto" w:before="266" w:after="0"/>
            <w:ind w:left="1232" w:right="0" w:hanging="567"/>
            <w:jc w:val="left"/>
          </w:pPr>
          <w:hyperlink w:history="true" w:anchor="_TOC_250037">
            <w:r>
              <w:rPr/>
              <w:t>Alterations</w:t>
            </w:r>
            <w:r>
              <w:rPr>
                <w:spacing w:val="10"/>
              </w:rPr>
              <w:t> </w:t>
            </w:r>
            <w:r>
              <w:rPr/>
              <w:t>in</w:t>
            </w:r>
            <w:r>
              <w:rPr>
                <w:spacing w:val="7"/>
              </w:rPr>
              <w:t> </w:t>
            </w:r>
            <w:r>
              <w:rPr/>
              <w:t>blood</w:t>
            </w:r>
            <w:r>
              <w:rPr>
                <w:spacing w:val="11"/>
              </w:rPr>
              <w:t> </w:t>
            </w:r>
            <w:r>
              <w:rPr>
                <w:spacing w:val="-4"/>
              </w:rPr>
              <w:t>flow</w:t>
            </w:r>
            <w:r>
              <w:rPr/>
              <w:tab/>
            </w:r>
            <w:r>
              <w:rPr>
                <w:spacing w:val="-5"/>
              </w:rPr>
              <w:t>16</w:t>
            </w:r>
          </w:hyperlink>
        </w:p>
        <w:p>
          <w:pPr>
            <w:pStyle w:val="TOC3"/>
            <w:numPr>
              <w:ilvl w:val="2"/>
              <w:numId w:val="4"/>
            </w:numPr>
            <w:tabs>
              <w:tab w:pos="1171" w:val="left" w:leader="none"/>
              <w:tab w:pos="8110" w:val="left" w:leader="none"/>
            </w:tabs>
            <w:spacing w:line="491" w:lineRule="auto" w:before="265" w:after="0"/>
            <w:ind w:left="665" w:right="1219" w:firstLine="0"/>
            <w:jc w:val="left"/>
          </w:pPr>
          <w:hyperlink w:history="true" w:anchor="_TOC_250036">
            <w:r>
              <w:rPr/>
              <w:t>Mitochondrial</w:t>
            </w:r>
            <w:r>
              <w:rPr>
                <w:spacing w:val="40"/>
              </w:rPr>
              <w:t> </w:t>
            </w:r>
            <w:r>
              <w:rPr/>
              <w:t>dysfunction</w:t>
            </w:r>
            <w:r>
              <w:rPr>
                <w:spacing w:val="40"/>
              </w:rPr>
              <w:t> </w:t>
            </w:r>
            <w:r>
              <w:rPr/>
              <w:t>and</w:t>
            </w:r>
            <w:r>
              <w:rPr>
                <w:spacing w:val="40"/>
              </w:rPr>
              <w:t> </w:t>
            </w:r>
            <w:r>
              <w:rPr/>
              <w:t>altered</w:t>
            </w:r>
            <w:r>
              <w:rPr>
                <w:spacing w:val="40"/>
              </w:rPr>
              <w:t> </w:t>
            </w:r>
            <w:r>
              <w:rPr/>
              <w:t>production</w:t>
            </w:r>
            <w:r>
              <w:rPr>
                <w:spacing w:val="40"/>
              </w:rPr>
              <w:t> </w:t>
            </w:r>
            <w:r>
              <w:rPr/>
              <w:t>of</w:t>
            </w:r>
            <w:r>
              <w:rPr>
                <w:spacing w:val="40"/>
              </w:rPr>
              <w:t> </w:t>
            </w:r>
            <w:r>
              <w:rPr/>
              <w:t>high-energy</w:t>
            </w:r>
            <w:r>
              <w:rPr>
                <w:spacing w:val="40"/>
              </w:rPr>
              <w:t> </w:t>
            </w:r>
            <w:r>
              <w:rPr>
                <w:spacing w:val="-2"/>
              </w:rPr>
              <w:t>Intermediates</w:t>
            </w:r>
            <w:r>
              <w:rPr/>
              <w:tab/>
            </w:r>
            <w:r>
              <w:rPr>
                <w:spacing w:val="-5"/>
              </w:rPr>
              <w:t>16</w:t>
            </w:r>
          </w:hyperlink>
        </w:p>
        <w:p>
          <w:pPr>
            <w:pStyle w:val="TOC3"/>
            <w:numPr>
              <w:ilvl w:val="2"/>
              <w:numId w:val="4"/>
            </w:numPr>
            <w:tabs>
              <w:tab w:pos="1171" w:val="left" w:leader="none"/>
              <w:tab w:pos="8110" w:val="left" w:leader="none"/>
            </w:tabs>
            <w:spacing w:line="253" w:lineRule="exact" w:before="0" w:after="0"/>
            <w:ind w:left="1171" w:right="0" w:hanging="506"/>
            <w:jc w:val="left"/>
          </w:pPr>
          <w:hyperlink w:history="true" w:anchor="_TOC_250035">
            <w:r>
              <w:rPr/>
              <w:t>Vascular</w:t>
            </w:r>
            <w:r>
              <w:rPr>
                <w:spacing w:val="18"/>
              </w:rPr>
              <w:t> </w:t>
            </w:r>
            <w:r>
              <w:rPr/>
              <w:t>insults</w:t>
            </w:r>
            <w:r>
              <w:rPr>
                <w:spacing w:val="16"/>
              </w:rPr>
              <w:t> </w:t>
            </w:r>
            <w:r>
              <w:rPr/>
              <w:t>associated</w:t>
            </w:r>
            <w:r>
              <w:rPr>
                <w:spacing w:val="13"/>
              </w:rPr>
              <w:t> </w:t>
            </w:r>
            <w:r>
              <w:rPr/>
              <w:t>with</w:t>
            </w:r>
            <w:r>
              <w:rPr>
                <w:spacing w:val="2"/>
              </w:rPr>
              <w:t> </w:t>
            </w:r>
            <w:r>
              <w:rPr/>
              <w:t>exposure</w:t>
            </w:r>
            <w:r>
              <w:rPr>
                <w:spacing w:val="12"/>
              </w:rPr>
              <w:t> </w:t>
            </w:r>
            <w:r>
              <w:rPr/>
              <w:t>to</w:t>
            </w:r>
            <w:r>
              <w:rPr>
                <w:spacing w:val="8"/>
              </w:rPr>
              <w:t> </w:t>
            </w:r>
            <w:r>
              <w:rPr/>
              <w:t>carbon</w:t>
            </w:r>
            <w:r>
              <w:rPr>
                <w:spacing w:val="9"/>
              </w:rPr>
              <w:t> </w:t>
            </w:r>
            <w:r>
              <w:rPr>
                <w:spacing w:val="-2"/>
              </w:rPr>
              <w:t>monoxide</w:t>
            </w:r>
            <w:r>
              <w:rPr/>
              <w:tab/>
            </w:r>
            <w:r>
              <w:rPr>
                <w:spacing w:val="-5"/>
              </w:rPr>
              <w:t>17</w:t>
            </w:r>
          </w:hyperlink>
        </w:p>
        <w:p>
          <w:pPr>
            <w:pStyle w:val="TOC2"/>
            <w:numPr>
              <w:ilvl w:val="1"/>
              <w:numId w:val="2"/>
            </w:numPr>
            <w:tabs>
              <w:tab w:pos="1008" w:val="left" w:leader="none"/>
              <w:tab w:pos="8110" w:val="left" w:leader="none"/>
            </w:tabs>
            <w:spacing w:line="240" w:lineRule="auto" w:before="265" w:after="0"/>
            <w:ind w:left="1008" w:right="0" w:hanging="343"/>
            <w:jc w:val="left"/>
          </w:pPr>
          <w:r>
            <w:rPr/>
            <w:t>CARBON</w:t>
          </w:r>
          <w:r>
            <w:rPr>
              <w:spacing w:val="16"/>
            </w:rPr>
            <w:t> </w:t>
          </w:r>
          <w:r>
            <w:rPr/>
            <w:t>MONOXIDE</w:t>
          </w:r>
          <w:r>
            <w:rPr>
              <w:spacing w:val="18"/>
            </w:rPr>
            <w:t> </w:t>
          </w:r>
          <w:r>
            <w:rPr/>
            <w:t>AND</w:t>
          </w:r>
          <w:r>
            <w:rPr>
              <w:spacing w:val="16"/>
            </w:rPr>
            <w:t> </w:t>
          </w:r>
          <w:r>
            <w:rPr/>
            <w:t>OXIDATIVE</w:t>
          </w:r>
          <w:r>
            <w:rPr>
              <w:spacing w:val="19"/>
            </w:rPr>
            <w:t> </w:t>
          </w:r>
          <w:r>
            <w:rPr>
              <w:spacing w:val="-2"/>
            </w:rPr>
            <w:t>DAMAGE</w:t>
          </w:r>
          <w:r>
            <w:rPr/>
            <w:tab/>
          </w:r>
          <w:r>
            <w:rPr>
              <w:spacing w:val="-5"/>
            </w:rPr>
            <w:t>18</w:t>
          </w:r>
        </w:p>
        <w:p>
          <w:pPr>
            <w:pStyle w:val="TOC2"/>
            <w:numPr>
              <w:ilvl w:val="1"/>
              <w:numId w:val="2"/>
            </w:numPr>
            <w:tabs>
              <w:tab w:pos="1008" w:val="left" w:leader="none"/>
              <w:tab w:pos="8110" w:val="left" w:leader="none"/>
            </w:tabs>
            <w:spacing w:line="240" w:lineRule="auto" w:before="266" w:after="0"/>
            <w:ind w:left="1008" w:right="0" w:hanging="343"/>
            <w:jc w:val="left"/>
          </w:pPr>
          <w:hyperlink w:history="true" w:anchor="_TOC_250034">
            <w:r>
              <w:rPr/>
              <w:t>EFFECTS</w:t>
            </w:r>
            <w:r>
              <w:rPr>
                <w:spacing w:val="12"/>
              </w:rPr>
              <w:t> </w:t>
            </w:r>
            <w:r>
              <w:rPr/>
              <w:t>OF</w:t>
            </w:r>
            <w:r>
              <w:rPr>
                <w:spacing w:val="12"/>
              </w:rPr>
              <w:t> </w:t>
            </w:r>
            <w:r>
              <w:rPr/>
              <w:t>CARBON</w:t>
            </w:r>
            <w:r>
              <w:rPr>
                <w:spacing w:val="13"/>
              </w:rPr>
              <w:t> </w:t>
            </w:r>
            <w:r>
              <w:rPr/>
              <w:t>MONOXIDE</w:t>
            </w:r>
            <w:r>
              <w:rPr>
                <w:spacing w:val="19"/>
              </w:rPr>
              <w:t> </w:t>
            </w:r>
            <w:r>
              <w:rPr/>
              <w:t>ON</w:t>
            </w:r>
            <w:r>
              <w:rPr>
                <w:spacing w:val="12"/>
              </w:rPr>
              <w:t> </w:t>
            </w:r>
            <w:r>
              <w:rPr/>
              <w:t>LEARNING</w:t>
            </w:r>
            <w:r>
              <w:rPr>
                <w:spacing w:val="12"/>
              </w:rPr>
              <w:t> </w:t>
            </w:r>
            <w:r>
              <w:rPr/>
              <w:t>AND</w:t>
            </w:r>
            <w:r>
              <w:rPr>
                <w:spacing w:val="12"/>
              </w:rPr>
              <w:t> </w:t>
            </w:r>
            <w:r>
              <w:rPr>
                <w:spacing w:val="-2"/>
              </w:rPr>
              <w:t>MEMORY</w:t>
            </w:r>
            <w:r>
              <w:rPr/>
              <w:tab/>
            </w:r>
            <w:r>
              <w:rPr>
                <w:spacing w:val="-5"/>
              </w:rPr>
              <w:t>20</w:t>
            </w:r>
          </w:hyperlink>
        </w:p>
        <w:p>
          <w:pPr>
            <w:pStyle w:val="TOC2"/>
            <w:numPr>
              <w:ilvl w:val="1"/>
              <w:numId w:val="2"/>
            </w:numPr>
            <w:tabs>
              <w:tab w:pos="1008" w:val="left" w:leader="none"/>
              <w:tab w:pos="8110" w:val="left" w:leader="none"/>
            </w:tabs>
            <w:spacing w:line="240" w:lineRule="auto" w:before="265" w:after="0"/>
            <w:ind w:left="1008" w:right="0" w:hanging="343"/>
            <w:jc w:val="left"/>
          </w:pPr>
          <w:hyperlink w:history="true" w:anchor="_TOC_250033">
            <w:r>
              <w:rPr/>
              <w:t>CARBON</w:t>
            </w:r>
            <w:r>
              <w:rPr>
                <w:spacing w:val="16"/>
              </w:rPr>
              <w:t> </w:t>
            </w:r>
            <w:r>
              <w:rPr/>
              <w:t>MONOXIDE</w:t>
            </w:r>
            <w:r>
              <w:rPr>
                <w:spacing w:val="19"/>
              </w:rPr>
              <w:t> </w:t>
            </w:r>
            <w:r>
              <w:rPr>
                <w:spacing w:val="-2"/>
              </w:rPr>
              <w:t>TOXICITY</w:t>
            </w:r>
            <w:r>
              <w:rPr/>
              <w:tab/>
            </w:r>
            <w:r>
              <w:rPr>
                <w:spacing w:val="-5"/>
              </w:rPr>
              <w:t>24</w:t>
            </w:r>
          </w:hyperlink>
        </w:p>
        <w:p>
          <w:pPr>
            <w:pStyle w:val="TOC3"/>
            <w:numPr>
              <w:ilvl w:val="2"/>
              <w:numId w:val="2"/>
            </w:numPr>
            <w:tabs>
              <w:tab w:pos="1171" w:val="left" w:leader="none"/>
              <w:tab w:pos="8110" w:val="left" w:leader="none"/>
            </w:tabs>
            <w:spacing w:line="240" w:lineRule="auto" w:before="266" w:after="0"/>
            <w:ind w:left="1171" w:right="0" w:hanging="506"/>
            <w:jc w:val="left"/>
          </w:pPr>
          <w:hyperlink w:history="true" w:anchor="_TOC_250032">
            <w:r>
              <w:rPr/>
              <w:t>Neurological</w:t>
            </w:r>
            <w:r>
              <w:rPr>
                <w:spacing w:val="15"/>
              </w:rPr>
              <w:t> </w:t>
            </w:r>
            <w:r>
              <w:rPr>
                <w:spacing w:val="-2"/>
              </w:rPr>
              <w:t>effects</w:t>
            </w:r>
            <w:r>
              <w:rPr/>
              <w:tab/>
            </w:r>
            <w:r>
              <w:rPr>
                <w:spacing w:val="-5"/>
              </w:rPr>
              <w:t>25</w:t>
            </w:r>
          </w:hyperlink>
        </w:p>
        <w:p>
          <w:pPr>
            <w:pStyle w:val="TOC3"/>
            <w:numPr>
              <w:ilvl w:val="2"/>
              <w:numId w:val="2"/>
            </w:numPr>
            <w:tabs>
              <w:tab w:pos="1171" w:val="left" w:leader="none"/>
              <w:tab w:pos="8110" w:val="left" w:leader="none"/>
            </w:tabs>
            <w:spacing w:line="240" w:lineRule="auto" w:before="265" w:after="0"/>
            <w:ind w:left="1171" w:right="0" w:hanging="506"/>
            <w:jc w:val="left"/>
          </w:pPr>
          <w:hyperlink w:history="true" w:anchor="_TOC_250031">
            <w:r>
              <w:rPr/>
              <w:t>Developmental</w:t>
            </w:r>
            <w:r>
              <w:rPr>
                <w:spacing w:val="20"/>
              </w:rPr>
              <w:t> </w:t>
            </w:r>
            <w:r>
              <w:rPr>
                <w:spacing w:val="-2"/>
              </w:rPr>
              <w:t>effects</w:t>
            </w:r>
            <w:r>
              <w:rPr/>
              <w:tab/>
            </w:r>
            <w:r>
              <w:rPr>
                <w:spacing w:val="-5"/>
              </w:rPr>
              <w:t>28</w:t>
            </w:r>
          </w:hyperlink>
        </w:p>
        <w:p>
          <w:pPr>
            <w:pStyle w:val="TOC3"/>
            <w:numPr>
              <w:ilvl w:val="2"/>
              <w:numId w:val="2"/>
            </w:numPr>
            <w:tabs>
              <w:tab w:pos="1171" w:val="left" w:leader="none"/>
              <w:tab w:pos="8110" w:val="left" w:leader="none"/>
            </w:tabs>
            <w:spacing w:line="240" w:lineRule="auto" w:before="270" w:after="0"/>
            <w:ind w:left="1171" w:right="0" w:hanging="506"/>
            <w:jc w:val="left"/>
          </w:pPr>
          <w:hyperlink w:history="true" w:anchor="_TOC_250030">
            <w:r>
              <w:rPr/>
              <w:t>Hypoxia</w:t>
            </w:r>
            <w:r>
              <w:rPr>
                <w:spacing w:val="15"/>
              </w:rPr>
              <w:t> </w:t>
            </w:r>
            <w:r>
              <w:rPr/>
              <w:t>and</w:t>
            </w:r>
            <w:r>
              <w:rPr>
                <w:spacing w:val="17"/>
              </w:rPr>
              <w:t> </w:t>
            </w:r>
            <w:r>
              <w:rPr/>
              <w:t>related</w:t>
            </w:r>
            <w:r>
              <w:rPr>
                <w:spacing w:val="17"/>
              </w:rPr>
              <w:t> </w:t>
            </w:r>
            <w:r>
              <w:rPr/>
              <w:t>compensatory </w:t>
            </w:r>
            <w:r>
              <w:rPr>
                <w:spacing w:val="-2"/>
              </w:rPr>
              <w:t>responses</w:t>
            </w:r>
            <w:r>
              <w:rPr/>
              <w:tab/>
            </w:r>
            <w:r>
              <w:rPr>
                <w:spacing w:val="-5"/>
              </w:rPr>
              <w:t>29</w:t>
            </w:r>
          </w:hyperlink>
        </w:p>
        <w:p>
          <w:pPr>
            <w:pStyle w:val="TOC1"/>
            <w:tabs>
              <w:tab w:pos="8110" w:val="left" w:leader="none"/>
            </w:tabs>
            <w:spacing w:before="271"/>
          </w:pPr>
          <w:hyperlink w:history="true" w:anchor="_TOC_250029">
            <w:r>
              <w:rPr/>
              <w:t>CHAPTER</w:t>
            </w:r>
            <w:r>
              <w:rPr>
                <w:spacing w:val="17"/>
              </w:rPr>
              <w:t> </w:t>
            </w:r>
            <w:r>
              <w:rPr>
                <w:spacing w:val="-4"/>
              </w:rPr>
              <w:t>THREE</w:t>
            </w:r>
            <w:r>
              <w:rPr/>
              <w:tab/>
            </w:r>
            <w:r>
              <w:rPr>
                <w:spacing w:val="-5"/>
              </w:rPr>
              <w:t>32</w:t>
            </w:r>
          </w:hyperlink>
        </w:p>
        <w:p>
          <w:pPr>
            <w:pStyle w:val="TOC2"/>
            <w:numPr>
              <w:ilvl w:val="1"/>
              <w:numId w:val="5"/>
            </w:numPr>
            <w:tabs>
              <w:tab w:pos="1003" w:val="left" w:leader="none"/>
              <w:tab w:pos="8110" w:val="left" w:leader="none"/>
            </w:tabs>
            <w:spacing w:line="240" w:lineRule="auto" w:before="260" w:after="0"/>
            <w:ind w:left="1003" w:right="0" w:hanging="338"/>
            <w:jc w:val="left"/>
          </w:pPr>
          <w:hyperlink w:history="true" w:anchor="_TOC_250028">
            <w:r>
              <w:rPr>
                <w:spacing w:val="-2"/>
              </w:rPr>
              <w:t>MATERIALS</w:t>
            </w:r>
            <w:r>
              <w:rPr/>
              <w:tab/>
            </w:r>
            <w:r>
              <w:rPr>
                <w:spacing w:val="-5"/>
              </w:rPr>
              <w:t>32</w:t>
            </w:r>
          </w:hyperlink>
        </w:p>
        <w:p>
          <w:pPr>
            <w:pStyle w:val="TOC3"/>
            <w:numPr>
              <w:ilvl w:val="2"/>
              <w:numId w:val="6"/>
            </w:numPr>
            <w:tabs>
              <w:tab w:pos="1171" w:val="left" w:leader="none"/>
              <w:tab w:pos="8110" w:val="left" w:leader="none"/>
            </w:tabs>
            <w:spacing w:line="240" w:lineRule="auto" w:before="266" w:after="0"/>
            <w:ind w:left="1171" w:right="0" w:hanging="506"/>
            <w:jc w:val="left"/>
          </w:pPr>
          <w:hyperlink w:history="true" w:anchor="_TOC_250027">
            <w:r>
              <w:rPr/>
              <w:t>Source</w:t>
            </w:r>
            <w:r>
              <w:rPr>
                <w:spacing w:val="8"/>
              </w:rPr>
              <w:t> </w:t>
            </w:r>
            <w:r>
              <w:rPr/>
              <w:t>of</w:t>
            </w:r>
            <w:r>
              <w:rPr>
                <w:spacing w:val="10"/>
              </w:rPr>
              <w:t> </w:t>
            </w:r>
            <w:r>
              <w:rPr/>
              <w:t>carbon</w:t>
            </w:r>
            <w:r>
              <w:rPr>
                <w:spacing w:val="10"/>
              </w:rPr>
              <w:t> </w:t>
            </w:r>
            <w:r>
              <w:rPr>
                <w:spacing w:val="-2"/>
              </w:rPr>
              <w:t>monoxide</w:t>
            </w:r>
            <w:r>
              <w:rPr/>
              <w:tab/>
            </w:r>
            <w:r>
              <w:rPr>
                <w:spacing w:val="-5"/>
              </w:rPr>
              <w:t>32</w:t>
            </w:r>
          </w:hyperlink>
        </w:p>
        <w:p>
          <w:pPr>
            <w:pStyle w:val="TOC3"/>
            <w:numPr>
              <w:ilvl w:val="2"/>
              <w:numId w:val="6"/>
            </w:numPr>
            <w:tabs>
              <w:tab w:pos="1171" w:val="left" w:leader="none"/>
              <w:tab w:pos="8110" w:val="left" w:leader="none"/>
            </w:tabs>
            <w:spacing w:line="240" w:lineRule="auto" w:before="265" w:after="0"/>
            <w:ind w:left="1171" w:right="0" w:hanging="506"/>
            <w:jc w:val="left"/>
          </w:pPr>
          <w:hyperlink w:history="true" w:anchor="_TOC_250026">
            <w:r>
              <w:rPr/>
              <w:t>Portable</w:t>
            </w:r>
            <w:r>
              <w:rPr>
                <w:spacing w:val="12"/>
              </w:rPr>
              <w:t> </w:t>
            </w:r>
            <w:r>
              <w:rPr/>
              <w:t>carbon</w:t>
            </w:r>
            <w:r>
              <w:rPr>
                <w:spacing w:val="10"/>
              </w:rPr>
              <w:t> </w:t>
            </w:r>
            <w:r>
              <w:rPr/>
              <w:t>monoxide</w:t>
            </w:r>
            <w:r>
              <w:rPr>
                <w:spacing w:val="13"/>
              </w:rPr>
              <w:t> </w:t>
            </w:r>
            <w:r>
              <w:rPr/>
              <w:t>gas</w:t>
            </w:r>
            <w:r>
              <w:rPr>
                <w:spacing w:val="11"/>
              </w:rPr>
              <w:t> </w:t>
            </w:r>
            <w:r>
              <w:rPr>
                <w:spacing w:val="-2"/>
              </w:rPr>
              <w:t>analyser</w:t>
            </w:r>
            <w:r>
              <w:rPr/>
              <w:tab/>
            </w:r>
            <w:r>
              <w:rPr>
                <w:spacing w:val="-5"/>
              </w:rPr>
              <w:t>32</w:t>
            </w:r>
          </w:hyperlink>
        </w:p>
        <w:p>
          <w:pPr>
            <w:pStyle w:val="TOC3"/>
            <w:numPr>
              <w:ilvl w:val="2"/>
              <w:numId w:val="6"/>
            </w:numPr>
            <w:tabs>
              <w:tab w:pos="1171" w:val="left" w:leader="none"/>
              <w:tab w:pos="8110" w:val="left" w:leader="none"/>
            </w:tabs>
            <w:spacing w:line="240" w:lineRule="auto" w:before="265" w:after="0"/>
            <w:ind w:left="1171" w:right="0" w:hanging="506"/>
            <w:jc w:val="left"/>
          </w:pPr>
          <w:hyperlink w:history="true" w:anchor="_TOC_250025">
            <w:r>
              <w:rPr/>
              <w:t>Gas</w:t>
            </w:r>
            <w:r>
              <w:rPr>
                <w:spacing w:val="7"/>
              </w:rPr>
              <w:t> </w:t>
            </w:r>
            <w:r>
              <w:rPr>
                <w:spacing w:val="-2"/>
              </w:rPr>
              <w:t>chamber</w:t>
            </w:r>
            <w:r>
              <w:rPr/>
              <w:tab/>
            </w:r>
            <w:r>
              <w:rPr>
                <w:spacing w:val="-5"/>
              </w:rPr>
              <w:t>32</w:t>
            </w:r>
          </w:hyperlink>
        </w:p>
        <w:p>
          <w:pPr>
            <w:pStyle w:val="TOC2"/>
            <w:numPr>
              <w:ilvl w:val="1"/>
              <w:numId w:val="7"/>
            </w:numPr>
            <w:tabs>
              <w:tab w:pos="1003" w:val="left" w:leader="none"/>
              <w:tab w:pos="8110" w:val="left" w:leader="none"/>
            </w:tabs>
            <w:spacing w:line="240" w:lineRule="auto" w:before="266" w:after="0"/>
            <w:ind w:left="1003" w:right="0" w:hanging="338"/>
            <w:jc w:val="left"/>
          </w:pPr>
          <w:hyperlink w:history="true" w:anchor="_TOC_250024">
            <w:r>
              <w:rPr>
                <w:spacing w:val="-2"/>
              </w:rPr>
              <w:t>METHODS</w:t>
            </w:r>
            <w:r>
              <w:rPr/>
              <w:tab/>
            </w:r>
            <w:r>
              <w:rPr>
                <w:spacing w:val="-5"/>
              </w:rPr>
              <w:t>36</w:t>
            </w:r>
          </w:hyperlink>
        </w:p>
        <w:p>
          <w:pPr>
            <w:pStyle w:val="TOC3"/>
            <w:numPr>
              <w:ilvl w:val="2"/>
              <w:numId w:val="7"/>
            </w:numPr>
            <w:tabs>
              <w:tab w:pos="1171" w:val="left" w:leader="none"/>
              <w:tab w:pos="8110" w:val="left" w:leader="none"/>
            </w:tabs>
            <w:spacing w:line="240" w:lineRule="auto" w:before="265" w:after="0"/>
            <w:ind w:left="1171" w:right="0" w:hanging="506"/>
            <w:jc w:val="left"/>
          </w:pPr>
          <w:hyperlink w:history="true" w:anchor="_TOC_250023">
            <w:r>
              <w:rPr>
                <w:spacing w:val="-2"/>
              </w:rPr>
              <w:t>Animals</w:t>
            </w:r>
            <w:r>
              <w:rPr/>
              <w:tab/>
            </w:r>
            <w:r>
              <w:rPr>
                <w:spacing w:val="-5"/>
              </w:rPr>
              <w:t>36</w:t>
            </w:r>
          </w:hyperlink>
        </w:p>
        <w:p>
          <w:pPr>
            <w:pStyle w:val="TOC3"/>
            <w:numPr>
              <w:ilvl w:val="2"/>
              <w:numId w:val="7"/>
            </w:numPr>
            <w:tabs>
              <w:tab w:pos="1171" w:val="left" w:leader="none"/>
            </w:tabs>
            <w:spacing w:line="240" w:lineRule="auto" w:before="266" w:after="0"/>
            <w:ind w:left="1171" w:right="0" w:hanging="506"/>
            <w:jc w:val="left"/>
          </w:pPr>
          <w:r>
            <w:rPr/>
            <w:t>Exposure</w:t>
          </w:r>
          <w:r>
            <w:rPr>
              <w:spacing w:val="5"/>
            </w:rPr>
            <w:t> </w:t>
          </w:r>
          <w:r>
            <w:rPr/>
            <w:t>of</w:t>
          </w:r>
          <w:r>
            <w:rPr>
              <w:spacing w:val="7"/>
            </w:rPr>
            <w:t> </w:t>
          </w:r>
          <w:r>
            <w:rPr/>
            <w:t>animals</w:t>
          </w:r>
          <w:r>
            <w:rPr>
              <w:spacing w:val="9"/>
            </w:rPr>
            <w:t> </w:t>
          </w:r>
          <w:r>
            <w:rPr/>
            <w:t>to</w:t>
          </w:r>
          <w:r>
            <w:rPr>
              <w:spacing w:val="18"/>
            </w:rPr>
            <w:t> </w:t>
          </w:r>
          <w:r>
            <w:rPr/>
            <w:t>carbon</w:t>
          </w:r>
          <w:r>
            <w:rPr>
              <w:spacing w:val="7"/>
            </w:rPr>
            <w:t> </w:t>
          </w:r>
          <w:r>
            <w:rPr/>
            <w:t>monoxide</w:t>
          </w:r>
          <w:r>
            <w:rPr>
              <w:spacing w:val="12"/>
            </w:rPr>
            <w:t> </w:t>
          </w:r>
          <w:r>
            <w:rPr/>
            <w:t>from</w:t>
          </w:r>
          <w:r>
            <w:rPr>
              <w:spacing w:val="13"/>
            </w:rPr>
            <w:t> </w:t>
          </w:r>
          <w:r>
            <w:rPr/>
            <w:t>the</w:t>
          </w:r>
          <w:r>
            <w:rPr>
              <w:spacing w:val="11"/>
            </w:rPr>
            <w:t> </w:t>
          </w:r>
          <w:r>
            <w:rPr>
              <w:spacing w:val="-2"/>
            </w:rPr>
            <w:t>generator</w:t>
          </w:r>
        </w:p>
        <w:p>
          <w:pPr>
            <w:pStyle w:val="TOC3"/>
            <w:tabs>
              <w:tab w:pos="8110" w:val="left" w:leader="none"/>
            </w:tabs>
            <w:ind w:firstLine="0"/>
          </w:pPr>
          <w:r>
            <w:rPr/>
            <w:t>exhaust</w:t>
          </w:r>
          <w:r>
            <w:rPr>
              <w:spacing w:val="9"/>
            </w:rPr>
            <w:t> </w:t>
          </w:r>
          <w:r>
            <w:rPr>
              <w:spacing w:val="-2"/>
            </w:rPr>
            <w:t>fumes</w:t>
          </w:r>
          <w:r>
            <w:rPr/>
            <w:tab/>
          </w:r>
          <w:r>
            <w:rPr>
              <w:spacing w:val="-5"/>
            </w:rPr>
            <w:t>36</w:t>
          </w:r>
        </w:p>
        <w:p>
          <w:pPr>
            <w:pStyle w:val="TOC2"/>
            <w:numPr>
              <w:ilvl w:val="2"/>
              <w:numId w:val="7"/>
            </w:numPr>
            <w:tabs>
              <w:tab w:pos="1171" w:val="left" w:leader="none"/>
              <w:tab w:pos="8110" w:val="left" w:leader="none"/>
            </w:tabs>
            <w:spacing w:line="240" w:lineRule="auto" w:before="270" w:after="0"/>
            <w:ind w:left="1171" w:right="0" w:hanging="506"/>
            <w:jc w:val="left"/>
          </w:pPr>
          <w:r>
            <w:rPr/>
            <w:t>NEUROBEHAVIOURAL</w:t>
          </w:r>
          <w:r>
            <w:rPr>
              <w:spacing w:val="43"/>
            </w:rPr>
            <w:t> </w:t>
          </w:r>
          <w:r>
            <w:rPr>
              <w:spacing w:val="-2"/>
            </w:rPr>
            <w:t>ASSESSMENT</w:t>
          </w:r>
          <w:r>
            <w:rPr/>
            <w:tab/>
          </w:r>
          <w:r>
            <w:rPr>
              <w:spacing w:val="-5"/>
            </w:rPr>
            <w:t>37</w:t>
          </w:r>
        </w:p>
        <w:p>
          <w:pPr>
            <w:pStyle w:val="TOC3"/>
            <w:numPr>
              <w:ilvl w:val="3"/>
              <w:numId w:val="7"/>
            </w:numPr>
            <w:tabs>
              <w:tab w:pos="1342" w:val="left" w:leader="none"/>
              <w:tab w:pos="8110" w:val="left" w:leader="none"/>
            </w:tabs>
            <w:spacing w:line="240" w:lineRule="auto" w:before="266" w:after="0"/>
            <w:ind w:left="1342" w:right="0" w:hanging="677"/>
            <w:jc w:val="left"/>
          </w:pPr>
          <w:r>
            <w:rPr/>
            <w:t>Assessment</w:t>
          </w:r>
          <w:r>
            <w:rPr>
              <w:spacing w:val="10"/>
            </w:rPr>
            <w:t> </w:t>
          </w:r>
          <w:r>
            <w:rPr/>
            <w:t>of</w:t>
          </w:r>
          <w:r>
            <w:rPr>
              <w:spacing w:val="8"/>
            </w:rPr>
            <w:t> </w:t>
          </w:r>
          <w:r>
            <w:rPr/>
            <w:t>the</w:t>
          </w:r>
          <w:r>
            <w:rPr>
              <w:spacing w:val="12"/>
            </w:rPr>
            <w:t> </w:t>
          </w:r>
          <w:r>
            <w:rPr/>
            <w:t>motor</w:t>
          </w:r>
          <w:r>
            <w:rPr>
              <w:spacing w:val="13"/>
            </w:rPr>
            <w:t> </w:t>
          </w:r>
          <w:r>
            <w:rPr/>
            <w:t>coordination</w:t>
          </w:r>
          <w:r>
            <w:rPr>
              <w:spacing w:val="8"/>
            </w:rPr>
            <w:t> </w:t>
          </w:r>
          <w:r>
            <w:rPr/>
            <w:t>using</w:t>
          </w:r>
          <w:r>
            <w:rPr>
              <w:spacing w:val="9"/>
            </w:rPr>
            <w:t> </w:t>
          </w:r>
          <w:r>
            <w:rPr/>
            <w:t>beam</w:t>
          </w:r>
          <w:r>
            <w:rPr>
              <w:spacing w:val="13"/>
            </w:rPr>
            <w:t> </w:t>
          </w:r>
          <w:r>
            <w:rPr/>
            <w:t>walk</w:t>
          </w:r>
          <w:r>
            <w:rPr>
              <w:spacing w:val="9"/>
            </w:rPr>
            <w:t> </w:t>
          </w:r>
          <w:r>
            <w:rPr>
              <w:spacing w:val="-4"/>
            </w:rPr>
            <w:t>test</w:t>
          </w:r>
          <w:r>
            <w:rPr/>
            <w:tab/>
          </w:r>
          <w:r>
            <w:rPr>
              <w:spacing w:val="-5"/>
            </w:rPr>
            <w:t>37</w:t>
          </w:r>
        </w:p>
        <w:p>
          <w:pPr>
            <w:pStyle w:val="TOC3"/>
            <w:numPr>
              <w:ilvl w:val="3"/>
              <w:numId w:val="7"/>
            </w:numPr>
            <w:tabs>
              <w:tab w:pos="1342" w:val="left" w:leader="none"/>
            </w:tabs>
            <w:spacing w:line="240" w:lineRule="auto" w:before="265" w:after="0"/>
            <w:ind w:left="1342" w:right="0" w:hanging="677"/>
            <w:jc w:val="left"/>
          </w:pPr>
          <w:r>
            <w:rPr/>
            <w:t>Assessment</w:t>
          </w:r>
          <w:r>
            <w:rPr>
              <w:spacing w:val="12"/>
            </w:rPr>
            <w:t> </w:t>
          </w:r>
          <w:r>
            <w:rPr/>
            <w:t>of</w:t>
          </w:r>
          <w:r>
            <w:rPr>
              <w:spacing w:val="10"/>
            </w:rPr>
            <w:t> </w:t>
          </w:r>
          <w:r>
            <w:rPr/>
            <w:t>learning</w:t>
          </w:r>
          <w:r>
            <w:rPr>
              <w:spacing w:val="10"/>
            </w:rPr>
            <w:t> </w:t>
          </w:r>
          <w:r>
            <w:rPr/>
            <w:t>retention</w:t>
          </w:r>
          <w:r>
            <w:rPr>
              <w:spacing w:val="10"/>
            </w:rPr>
            <w:t> </w:t>
          </w:r>
          <w:r>
            <w:rPr/>
            <w:t>behaviour</w:t>
          </w:r>
          <w:r>
            <w:rPr>
              <w:spacing w:val="4"/>
            </w:rPr>
            <w:t> </w:t>
          </w:r>
          <w:r>
            <w:rPr/>
            <w:t>using</w:t>
          </w:r>
          <w:r>
            <w:rPr>
              <w:spacing w:val="10"/>
            </w:rPr>
            <w:t> </w:t>
          </w:r>
          <w:r>
            <w:rPr/>
            <w:t>the</w:t>
          </w:r>
          <w:r>
            <w:rPr>
              <w:spacing w:val="14"/>
            </w:rPr>
            <w:t> </w:t>
          </w:r>
          <w:r>
            <w:rPr/>
            <w:t>elevated</w:t>
          </w:r>
          <w:r>
            <w:rPr>
              <w:spacing w:val="21"/>
            </w:rPr>
            <w:t> </w:t>
          </w:r>
          <w:r>
            <w:rPr>
              <w:spacing w:val="-4"/>
            </w:rPr>
            <w:t>plus</w:t>
          </w:r>
        </w:p>
        <w:p>
          <w:pPr>
            <w:pStyle w:val="TOC3"/>
            <w:tabs>
              <w:tab w:pos="8110" w:val="left" w:leader="none"/>
            </w:tabs>
            <w:spacing w:before="266"/>
            <w:ind w:firstLine="0"/>
          </w:pPr>
          <w:r>
            <w:rPr>
              <w:spacing w:val="-4"/>
            </w:rPr>
            <w:t>maze</w:t>
          </w:r>
          <w:r>
            <w:rPr/>
            <w:tab/>
          </w:r>
          <w:r>
            <w:rPr>
              <w:spacing w:val="-5"/>
            </w:rPr>
            <w:t>41</w:t>
          </w:r>
        </w:p>
        <w:p>
          <w:pPr>
            <w:pStyle w:val="TOC3"/>
            <w:numPr>
              <w:ilvl w:val="3"/>
              <w:numId w:val="7"/>
            </w:numPr>
            <w:tabs>
              <w:tab w:pos="1342" w:val="left" w:leader="none"/>
              <w:tab w:pos="8110" w:val="left" w:leader="none"/>
            </w:tabs>
            <w:spacing w:line="240" w:lineRule="auto" w:before="265" w:after="20"/>
            <w:ind w:left="1342" w:right="0" w:hanging="677"/>
            <w:jc w:val="left"/>
          </w:pPr>
          <w:hyperlink w:history="true" w:anchor="_TOC_250022">
            <w:r>
              <w:rPr/>
              <w:t>Determination</w:t>
            </w:r>
            <w:r>
              <w:rPr>
                <w:spacing w:val="13"/>
              </w:rPr>
              <w:t> </w:t>
            </w:r>
            <w:r>
              <w:rPr/>
              <w:t>of</w:t>
            </w:r>
            <w:r>
              <w:rPr>
                <w:spacing w:val="5"/>
              </w:rPr>
              <w:t> </w:t>
            </w:r>
            <w:r>
              <w:rPr/>
              <w:t>blood</w:t>
            </w:r>
            <w:r>
              <w:rPr>
                <w:spacing w:val="18"/>
              </w:rPr>
              <w:t> </w:t>
            </w:r>
            <w:r>
              <w:rPr/>
              <w:t>carboxyhaemoglobin</w:t>
            </w:r>
            <w:r>
              <w:rPr>
                <w:spacing w:val="13"/>
              </w:rPr>
              <w:t> </w:t>
            </w:r>
            <w:r>
              <w:rPr/>
              <w:t>level</w:t>
            </w:r>
            <w:r>
              <w:rPr>
                <w:spacing w:val="16"/>
              </w:rPr>
              <w:t> </w:t>
            </w:r>
            <w:r>
              <w:rPr/>
              <w:t>in</w:t>
            </w:r>
            <w:r>
              <w:rPr>
                <w:spacing w:val="13"/>
              </w:rPr>
              <w:t> </w:t>
            </w:r>
            <w:r>
              <w:rPr>
                <w:spacing w:val="-2"/>
              </w:rPr>
              <w:t>animals</w:t>
            </w:r>
            <w:r>
              <w:rPr/>
              <w:tab/>
            </w:r>
            <w:r>
              <w:rPr>
                <w:spacing w:val="-5"/>
              </w:rPr>
              <w:t>43</w:t>
            </w:r>
          </w:hyperlink>
        </w:p>
        <w:p>
          <w:pPr>
            <w:pStyle w:val="TOC2"/>
            <w:numPr>
              <w:ilvl w:val="3"/>
              <w:numId w:val="7"/>
            </w:numPr>
            <w:tabs>
              <w:tab w:pos="1342" w:val="left" w:leader="none"/>
              <w:tab w:pos="8110" w:val="left" w:leader="none"/>
            </w:tabs>
            <w:spacing w:line="240" w:lineRule="auto" w:before="75" w:after="0"/>
            <w:ind w:left="1342" w:right="0" w:hanging="677"/>
            <w:jc w:val="left"/>
          </w:pPr>
          <w:hyperlink w:history="true" w:anchor="_TOC_250021">
            <w:r>
              <w:rPr/>
              <w:t>DATA</w:t>
            </w:r>
            <w:r>
              <w:rPr>
                <w:spacing w:val="11"/>
              </w:rPr>
              <w:t> </w:t>
            </w:r>
            <w:r>
              <w:rPr>
                <w:spacing w:val="-2"/>
              </w:rPr>
              <w:t>ANALYSIS</w:t>
            </w:r>
            <w:r>
              <w:rPr/>
              <w:tab/>
            </w:r>
            <w:r>
              <w:rPr>
                <w:spacing w:val="-5"/>
              </w:rPr>
              <w:t>45</w:t>
            </w:r>
          </w:hyperlink>
        </w:p>
        <w:p>
          <w:pPr>
            <w:pStyle w:val="TOC1"/>
            <w:tabs>
              <w:tab w:pos="8110" w:val="left" w:leader="none"/>
            </w:tabs>
          </w:pPr>
          <w:hyperlink w:history="true" w:anchor="_TOC_250020">
            <w:r>
              <w:rPr/>
              <w:t>CHAPTER</w:t>
            </w:r>
            <w:r>
              <w:rPr>
                <w:spacing w:val="17"/>
              </w:rPr>
              <w:t> </w:t>
            </w:r>
            <w:r>
              <w:rPr>
                <w:spacing w:val="-4"/>
              </w:rPr>
              <w:t>FOUR</w:t>
            </w:r>
            <w:r>
              <w:rPr/>
              <w:tab/>
            </w:r>
            <w:r>
              <w:rPr>
                <w:spacing w:val="-5"/>
              </w:rPr>
              <w:t>46</w:t>
            </w:r>
          </w:hyperlink>
        </w:p>
        <w:p>
          <w:pPr>
            <w:pStyle w:val="TOC2"/>
            <w:numPr>
              <w:ilvl w:val="1"/>
              <w:numId w:val="8"/>
            </w:numPr>
            <w:tabs>
              <w:tab w:pos="1060" w:val="left" w:leader="none"/>
              <w:tab w:pos="8110" w:val="left" w:leader="none"/>
            </w:tabs>
            <w:spacing w:line="240" w:lineRule="auto" w:before="261" w:after="0"/>
            <w:ind w:left="1060" w:right="0" w:hanging="395"/>
            <w:jc w:val="left"/>
          </w:pPr>
          <w:hyperlink w:history="true" w:anchor="_TOC_250019">
            <w:r>
              <w:rPr>
                <w:spacing w:val="-2"/>
              </w:rPr>
              <w:t>RESULTS</w:t>
            </w:r>
            <w:r>
              <w:rPr/>
              <w:tab/>
            </w:r>
            <w:r>
              <w:rPr>
                <w:spacing w:val="-5"/>
              </w:rPr>
              <w:t>46</w:t>
            </w:r>
          </w:hyperlink>
        </w:p>
        <w:p>
          <w:pPr>
            <w:pStyle w:val="TOC3"/>
            <w:numPr>
              <w:ilvl w:val="1"/>
              <w:numId w:val="9"/>
            </w:numPr>
            <w:tabs>
              <w:tab w:pos="1008" w:val="left" w:leader="none"/>
            </w:tabs>
            <w:spacing w:line="240" w:lineRule="auto" w:before="265" w:after="0"/>
            <w:ind w:left="1008" w:right="0" w:hanging="343"/>
            <w:jc w:val="left"/>
          </w:pPr>
          <w:r>
            <w:rPr/>
            <w:t>Effects</w:t>
          </w:r>
          <w:r>
            <w:rPr>
              <w:spacing w:val="12"/>
            </w:rPr>
            <w:t> </w:t>
          </w:r>
          <w:r>
            <w:rPr/>
            <w:t>of</w:t>
          </w:r>
          <w:r>
            <w:rPr>
              <w:spacing w:val="4"/>
            </w:rPr>
            <w:t> </w:t>
          </w:r>
          <w:r>
            <w:rPr/>
            <w:t>30-minute</w:t>
          </w:r>
          <w:r>
            <w:rPr>
              <w:spacing w:val="14"/>
            </w:rPr>
            <w:t> </w:t>
          </w:r>
          <w:r>
            <w:rPr/>
            <w:t>carbon</w:t>
          </w:r>
          <w:r>
            <w:rPr>
              <w:spacing w:val="11"/>
            </w:rPr>
            <w:t> </w:t>
          </w:r>
          <w:r>
            <w:rPr/>
            <w:t>monoxide</w:t>
          </w:r>
          <w:r>
            <w:rPr>
              <w:spacing w:val="9"/>
            </w:rPr>
            <w:t> </w:t>
          </w:r>
          <w:r>
            <w:rPr/>
            <w:t>exposure</w:t>
          </w:r>
          <w:r>
            <w:rPr>
              <w:spacing w:val="15"/>
            </w:rPr>
            <w:t> </w:t>
          </w:r>
          <w:r>
            <w:rPr/>
            <w:t>on</w:t>
          </w:r>
          <w:r>
            <w:rPr>
              <w:spacing w:val="11"/>
            </w:rPr>
            <w:t> </w:t>
          </w:r>
          <w:r>
            <w:rPr>
              <w:spacing w:val="-2"/>
            </w:rPr>
            <w:t>learning/acquisition</w:t>
          </w:r>
        </w:p>
        <w:p>
          <w:pPr>
            <w:pStyle w:val="TOC3"/>
            <w:tabs>
              <w:tab w:pos="8110" w:val="left" w:leader="none"/>
            </w:tabs>
            <w:spacing w:before="266"/>
            <w:ind w:firstLine="0"/>
          </w:pPr>
          <w:r>
            <w:rPr/>
            <w:t>and</w:t>
          </w:r>
          <w:r>
            <w:rPr>
              <w:spacing w:val="27"/>
            </w:rPr>
            <w:t> </w:t>
          </w:r>
          <w:r>
            <w:rPr/>
            <w:t>retention/memory</w:t>
          </w:r>
          <w:r>
            <w:rPr>
              <w:spacing w:val="2"/>
            </w:rPr>
            <w:t> </w:t>
          </w:r>
          <w:r>
            <w:rPr>
              <w:spacing w:val="-4"/>
            </w:rPr>
            <w:t>test</w:t>
          </w:r>
          <w:r>
            <w:rPr/>
            <w:tab/>
          </w:r>
          <w:r>
            <w:rPr>
              <w:spacing w:val="-5"/>
            </w:rPr>
            <w:t>46</w:t>
          </w:r>
        </w:p>
        <w:p>
          <w:pPr>
            <w:pStyle w:val="TOC3"/>
            <w:numPr>
              <w:ilvl w:val="2"/>
              <w:numId w:val="9"/>
            </w:numPr>
            <w:tabs>
              <w:tab w:pos="1171" w:val="left" w:leader="none"/>
              <w:tab w:pos="8110" w:val="left" w:leader="none"/>
            </w:tabs>
            <w:spacing w:line="491" w:lineRule="auto" w:before="265" w:after="0"/>
            <w:ind w:left="665" w:right="1219" w:firstLine="0"/>
            <w:jc w:val="left"/>
          </w:pPr>
          <w:hyperlink w:history="true" w:anchor="_TOC_250018">
            <w:r>
              <w:rPr/>
              <w:t>Effect of 1-hour of carbon monoxide exposure on learning and</w:t>
            </w:r>
            <w:r>
              <w:rPr>
                <w:spacing w:val="80"/>
              </w:rPr>
              <w:t> </w:t>
            </w:r>
            <w:r>
              <w:rPr/>
              <w:t>retention/memory</w:t>
            </w:r>
            <w:r>
              <w:rPr>
                <w:spacing w:val="-6"/>
              </w:rPr>
              <w:t> </w:t>
            </w:r>
            <w:r>
              <w:rPr/>
              <w:t>test</w:t>
            </w:r>
            <w:r>
              <w:rPr/>
              <w:tab/>
            </w:r>
            <w:r>
              <w:rPr>
                <w:spacing w:val="-6"/>
              </w:rPr>
              <w:t>48</w:t>
            </w:r>
          </w:hyperlink>
        </w:p>
        <w:p>
          <w:pPr>
            <w:pStyle w:val="TOC3"/>
            <w:numPr>
              <w:ilvl w:val="2"/>
              <w:numId w:val="9"/>
            </w:numPr>
            <w:tabs>
              <w:tab w:pos="1171" w:val="left" w:leader="none"/>
              <w:tab w:pos="8110" w:val="left" w:leader="none"/>
            </w:tabs>
            <w:spacing w:line="491" w:lineRule="auto" w:before="0" w:after="0"/>
            <w:ind w:left="665" w:right="1219" w:firstLine="0"/>
            <w:jc w:val="left"/>
          </w:pPr>
          <w:r>
            <w:rPr/>
            <w:t>Effect</w:t>
          </w:r>
          <w:r>
            <w:rPr>
              <w:spacing w:val="39"/>
            </w:rPr>
            <w:t> </w:t>
          </w:r>
          <w:r>
            <w:rPr/>
            <w:t>of</w:t>
          </w:r>
          <w:r>
            <w:rPr>
              <w:spacing w:val="26"/>
            </w:rPr>
            <w:t> </w:t>
          </w:r>
          <w:r>
            <w:rPr/>
            <w:t>2-hours</w:t>
          </w:r>
          <w:r>
            <w:rPr>
              <w:spacing w:val="29"/>
            </w:rPr>
            <w:t> </w:t>
          </w:r>
          <w:r>
            <w:rPr/>
            <w:t>carbon</w:t>
          </w:r>
          <w:r>
            <w:rPr>
              <w:spacing w:val="36"/>
            </w:rPr>
            <w:t> </w:t>
          </w:r>
          <w:r>
            <w:rPr/>
            <w:t>monoxide</w:t>
          </w:r>
          <w:r>
            <w:rPr>
              <w:spacing w:val="32"/>
            </w:rPr>
            <w:t> </w:t>
          </w:r>
          <w:r>
            <w:rPr/>
            <w:t>exposure</w:t>
          </w:r>
          <w:r>
            <w:rPr>
              <w:spacing w:val="26"/>
            </w:rPr>
            <w:t> </w:t>
          </w:r>
          <w:r>
            <w:rPr/>
            <w:t>on</w:t>
          </w:r>
          <w:r>
            <w:rPr>
              <w:spacing w:val="37"/>
            </w:rPr>
            <w:t> </w:t>
          </w:r>
          <w:r>
            <w:rPr/>
            <w:t>learning</w:t>
          </w:r>
          <w:r>
            <w:rPr>
              <w:spacing w:val="36"/>
            </w:rPr>
            <w:t> </w:t>
          </w:r>
          <w:r>
            <w:rPr/>
            <w:t>and</w:t>
          </w:r>
          <w:r>
            <w:rPr/>
            <w:t> retention/memory</w:t>
          </w:r>
          <w:r>
            <w:rPr>
              <w:spacing w:val="-6"/>
            </w:rPr>
            <w:t> </w:t>
          </w:r>
          <w:r>
            <w:rPr/>
            <w:t>test</w:t>
          </w:r>
          <w:r>
            <w:rPr/>
            <w:tab/>
          </w:r>
          <w:r>
            <w:rPr>
              <w:spacing w:val="-6"/>
            </w:rPr>
            <w:t>50</w:t>
          </w:r>
        </w:p>
        <w:p>
          <w:pPr>
            <w:pStyle w:val="TOC3"/>
            <w:numPr>
              <w:ilvl w:val="2"/>
              <w:numId w:val="9"/>
            </w:numPr>
            <w:tabs>
              <w:tab w:pos="1171" w:val="left" w:leader="none"/>
            </w:tabs>
            <w:spacing w:line="253" w:lineRule="exact" w:before="0" w:after="0"/>
            <w:ind w:left="1171" w:right="0" w:hanging="506"/>
            <w:jc w:val="left"/>
          </w:pPr>
          <w:r>
            <w:rPr/>
            <w:t>Influence</w:t>
          </w:r>
          <w:r>
            <w:rPr>
              <w:spacing w:val="11"/>
            </w:rPr>
            <w:t> </w:t>
          </w:r>
          <w:r>
            <w:rPr/>
            <w:t>of</w:t>
          </w:r>
          <w:r>
            <w:rPr>
              <w:spacing w:val="13"/>
            </w:rPr>
            <w:t> </w:t>
          </w:r>
          <w:r>
            <w:rPr/>
            <w:t>carbon</w:t>
          </w:r>
          <w:r>
            <w:rPr>
              <w:spacing w:val="14"/>
            </w:rPr>
            <w:t> </w:t>
          </w:r>
          <w:r>
            <w:rPr/>
            <w:t>monoxide</w:t>
          </w:r>
          <w:r>
            <w:rPr>
              <w:spacing w:val="12"/>
            </w:rPr>
            <w:t> </w:t>
          </w:r>
          <w:r>
            <w:rPr/>
            <w:t>exposure</w:t>
          </w:r>
          <w:r>
            <w:rPr>
              <w:spacing w:val="11"/>
            </w:rPr>
            <w:t> </w:t>
          </w:r>
          <w:r>
            <w:rPr>
              <w:spacing w:val="-5"/>
            </w:rPr>
            <w:t>on</w:t>
          </w:r>
        </w:p>
        <w:p>
          <w:pPr>
            <w:pStyle w:val="TOC3"/>
            <w:tabs>
              <w:tab w:pos="8110" w:val="left" w:leader="none"/>
            </w:tabs>
            <w:spacing w:before="270"/>
            <w:ind w:firstLine="0"/>
          </w:pPr>
          <w:r>
            <w:rPr/>
            <w:t>learning/acquisition</w:t>
          </w:r>
          <w:r>
            <w:rPr>
              <w:spacing w:val="17"/>
            </w:rPr>
            <w:t> </w:t>
          </w:r>
          <w:r>
            <w:rPr/>
            <w:t>test</w:t>
          </w:r>
          <w:r>
            <w:rPr>
              <w:spacing w:val="26"/>
            </w:rPr>
            <w:t> </w:t>
          </w:r>
          <w:r>
            <w:rPr/>
            <w:t>(Day-</w:t>
          </w:r>
          <w:r>
            <w:rPr>
              <w:spacing w:val="-5"/>
            </w:rPr>
            <w:t>1)</w:t>
          </w:r>
          <w:r>
            <w:rPr/>
            <w:tab/>
          </w:r>
          <w:r>
            <w:rPr>
              <w:spacing w:val="-5"/>
            </w:rPr>
            <w:t>52</w:t>
          </w:r>
        </w:p>
        <w:p>
          <w:pPr>
            <w:pStyle w:val="TOC3"/>
            <w:numPr>
              <w:ilvl w:val="2"/>
              <w:numId w:val="9"/>
            </w:numPr>
            <w:tabs>
              <w:tab w:pos="1171" w:val="left" w:leader="none"/>
              <w:tab w:pos="8110" w:val="left" w:leader="none"/>
            </w:tabs>
            <w:spacing w:line="240" w:lineRule="auto" w:before="265" w:after="0"/>
            <w:ind w:left="1171" w:right="0" w:hanging="506"/>
            <w:jc w:val="left"/>
          </w:pPr>
          <w:r>
            <w:rPr/>
            <w:t>Influence</w:t>
          </w:r>
          <w:r>
            <w:rPr>
              <w:spacing w:val="10"/>
            </w:rPr>
            <w:t> </w:t>
          </w:r>
          <w:r>
            <w:rPr/>
            <w:t>of</w:t>
          </w:r>
          <w:r>
            <w:rPr>
              <w:spacing w:val="12"/>
            </w:rPr>
            <w:t> </w:t>
          </w:r>
          <w:r>
            <w:rPr/>
            <w:t>carbon</w:t>
          </w:r>
          <w:r>
            <w:rPr>
              <w:spacing w:val="13"/>
            </w:rPr>
            <w:t> </w:t>
          </w:r>
          <w:r>
            <w:rPr/>
            <w:t>monoxide</w:t>
          </w:r>
          <w:r>
            <w:rPr>
              <w:spacing w:val="10"/>
            </w:rPr>
            <w:t> </w:t>
          </w:r>
          <w:r>
            <w:rPr/>
            <w:t>exposure</w:t>
          </w:r>
          <w:r>
            <w:rPr>
              <w:spacing w:val="11"/>
            </w:rPr>
            <w:t> </w:t>
          </w:r>
          <w:r>
            <w:rPr/>
            <w:t>on</w:t>
          </w:r>
          <w:r>
            <w:rPr>
              <w:spacing w:val="13"/>
            </w:rPr>
            <w:t> </w:t>
          </w:r>
          <w:r>
            <w:rPr/>
            <w:t>memory/recall</w:t>
          </w:r>
          <w:r>
            <w:rPr>
              <w:spacing w:val="15"/>
            </w:rPr>
            <w:t> </w:t>
          </w:r>
          <w:r>
            <w:rPr/>
            <w:t>test</w:t>
          </w:r>
          <w:r>
            <w:rPr>
              <w:spacing w:val="16"/>
            </w:rPr>
            <w:t> </w:t>
          </w:r>
          <w:r>
            <w:rPr/>
            <w:t>(Day-</w:t>
          </w:r>
          <w:r>
            <w:rPr>
              <w:spacing w:val="-5"/>
            </w:rPr>
            <w:t>2)</w:t>
          </w:r>
          <w:r>
            <w:rPr/>
            <w:tab/>
          </w:r>
          <w:r>
            <w:rPr>
              <w:spacing w:val="-5"/>
            </w:rPr>
            <w:t>54</w:t>
          </w:r>
        </w:p>
        <w:p>
          <w:pPr>
            <w:pStyle w:val="TOC3"/>
            <w:numPr>
              <w:ilvl w:val="2"/>
              <w:numId w:val="9"/>
            </w:numPr>
            <w:tabs>
              <w:tab w:pos="1171" w:val="left" w:leader="none"/>
              <w:tab w:pos="8110" w:val="left" w:leader="none"/>
            </w:tabs>
            <w:spacing w:line="240" w:lineRule="auto" w:before="266" w:after="0"/>
            <w:ind w:left="1171" w:right="0" w:hanging="506"/>
            <w:jc w:val="left"/>
          </w:pPr>
          <w:hyperlink w:history="true" w:anchor="_TOC_250017">
            <w:r>
              <w:rPr/>
              <w:t>Control</w:t>
            </w:r>
            <w:r>
              <w:rPr>
                <w:spacing w:val="16"/>
              </w:rPr>
              <w:t> </w:t>
            </w:r>
            <w:r>
              <w:rPr>
                <w:spacing w:val="-2"/>
              </w:rPr>
              <w:t>group</w:t>
            </w:r>
            <w:r>
              <w:rPr/>
              <w:tab/>
            </w:r>
            <w:r>
              <w:rPr>
                <w:spacing w:val="-5"/>
              </w:rPr>
              <w:t>56</w:t>
            </w:r>
          </w:hyperlink>
        </w:p>
        <w:p>
          <w:pPr>
            <w:pStyle w:val="TOC3"/>
            <w:numPr>
              <w:ilvl w:val="2"/>
              <w:numId w:val="9"/>
            </w:numPr>
            <w:tabs>
              <w:tab w:pos="1171" w:val="left" w:leader="none"/>
            </w:tabs>
            <w:spacing w:line="240" w:lineRule="auto" w:before="265" w:after="0"/>
            <w:ind w:left="1171" w:right="0" w:hanging="506"/>
            <w:jc w:val="left"/>
          </w:pPr>
          <w:r>
            <w:rPr/>
            <w:t>Effects</w:t>
          </w:r>
          <w:r>
            <w:rPr>
              <w:spacing w:val="7"/>
            </w:rPr>
            <w:t> </w:t>
          </w:r>
          <w:r>
            <w:rPr/>
            <w:t>of</w:t>
          </w:r>
          <w:r>
            <w:rPr>
              <w:spacing w:val="5"/>
            </w:rPr>
            <w:t> </w:t>
          </w:r>
          <w:r>
            <w:rPr/>
            <w:t>30</w:t>
          </w:r>
          <w:r>
            <w:rPr>
              <w:spacing w:val="10"/>
            </w:rPr>
            <w:t> </w:t>
          </w:r>
          <w:r>
            <w:rPr/>
            <w:t>minutes,</w:t>
          </w:r>
          <w:r>
            <w:rPr>
              <w:spacing w:val="5"/>
            </w:rPr>
            <w:t> </w:t>
          </w:r>
          <w:r>
            <w:rPr/>
            <w:t>1</w:t>
          </w:r>
          <w:r>
            <w:rPr>
              <w:spacing w:val="16"/>
            </w:rPr>
            <w:t> </w:t>
          </w:r>
          <w:r>
            <w:rPr/>
            <w:t>hour</w:t>
          </w:r>
          <w:r>
            <w:rPr>
              <w:spacing w:val="10"/>
            </w:rPr>
            <w:t> </w:t>
          </w:r>
          <w:r>
            <w:rPr/>
            <w:t>and</w:t>
          </w:r>
          <w:r>
            <w:rPr>
              <w:spacing w:val="11"/>
            </w:rPr>
            <w:t> </w:t>
          </w:r>
          <w:r>
            <w:rPr/>
            <w:t>2</w:t>
          </w:r>
          <w:r>
            <w:rPr>
              <w:spacing w:val="6"/>
            </w:rPr>
            <w:t> </w:t>
          </w:r>
          <w:r>
            <w:rPr/>
            <w:t>hours</w:t>
          </w:r>
          <w:r>
            <w:rPr>
              <w:spacing w:val="1"/>
            </w:rPr>
            <w:t> </w:t>
          </w:r>
          <w:r>
            <w:rPr/>
            <w:t>of</w:t>
          </w:r>
          <w:r>
            <w:rPr>
              <w:spacing w:val="6"/>
            </w:rPr>
            <w:t> </w:t>
          </w:r>
          <w:r>
            <w:rPr/>
            <w:t>carbon</w:t>
          </w:r>
          <w:r>
            <w:rPr>
              <w:spacing w:val="6"/>
            </w:rPr>
            <w:t> </w:t>
          </w:r>
          <w:r>
            <w:rPr>
              <w:spacing w:val="-2"/>
            </w:rPr>
            <w:t>monoxide</w:t>
          </w:r>
        </w:p>
        <w:p>
          <w:pPr>
            <w:pStyle w:val="TOC3"/>
            <w:tabs>
              <w:tab w:pos="8110" w:val="left" w:leader="none"/>
            </w:tabs>
            <w:spacing w:before="266"/>
            <w:ind w:firstLine="0"/>
          </w:pPr>
          <w:r>
            <w:rPr/>
            <w:t>exposure</w:t>
          </w:r>
          <w:r>
            <w:rPr>
              <w:spacing w:val="10"/>
            </w:rPr>
            <w:t> </w:t>
          </w:r>
          <w:r>
            <w:rPr/>
            <w:t>on</w:t>
          </w:r>
          <w:r>
            <w:rPr>
              <w:spacing w:val="13"/>
            </w:rPr>
            <w:t> </w:t>
          </w:r>
          <w:r>
            <w:rPr/>
            <w:t>the</w:t>
          </w:r>
          <w:r>
            <w:rPr>
              <w:spacing w:val="10"/>
            </w:rPr>
            <w:t> </w:t>
          </w:r>
          <w:r>
            <w:rPr/>
            <w:t>experimental</w:t>
          </w:r>
          <w:r>
            <w:rPr>
              <w:spacing w:val="9"/>
            </w:rPr>
            <w:t> </w:t>
          </w:r>
          <w:r>
            <w:rPr>
              <w:spacing w:val="-4"/>
            </w:rPr>
            <w:t>group</w:t>
          </w:r>
          <w:r>
            <w:rPr/>
            <w:tab/>
          </w:r>
          <w:r>
            <w:rPr>
              <w:spacing w:val="-5"/>
            </w:rPr>
            <w:t>58</w:t>
          </w:r>
        </w:p>
        <w:p>
          <w:pPr>
            <w:pStyle w:val="TOC2"/>
            <w:numPr>
              <w:ilvl w:val="1"/>
              <w:numId w:val="10"/>
            </w:numPr>
            <w:tabs>
              <w:tab w:pos="1060" w:val="left" w:leader="none"/>
              <w:tab w:pos="8110" w:val="left" w:leader="none"/>
            </w:tabs>
            <w:spacing w:line="240" w:lineRule="auto" w:before="265" w:after="0"/>
            <w:ind w:left="1060" w:right="0" w:hanging="395"/>
            <w:jc w:val="left"/>
          </w:pPr>
          <w:hyperlink w:history="true" w:anchor="_TOC_250016">
            <w:r>
              <w:rPr/>
              <w:t>ASSESSMENT</w:t>
            </w:r>
            <w:r>
              <w:rPr>
                <w:spacing w:val="17"/>
              </w:rPr>
              <w:t> </w:t>
            </w:r>
            <w:r>
              <w:rPr/>
              <w:t>OF</w:t>
            </w:r>
            <w:r>
              <w:rPr>
                <w:spacing w:val="15"/>
              </w:rPr>
              <w:t> </w:t>
            </w:r>
            <w:r>
              <w:rPr/>
              <w:t>MOTOR</w:t>
            </w:r>
            <w:r>
              <w:rPr>
                <w:spacing w:val="20"/>
              </w:rPr>
              <w:t> </w:t>
            </w:r>
            <w:r>
              <w:rPr>
                <w:spacing w:val="-2"/>
              </w:rPr>
              <w:t>COORDINATION</w:t>
            </w:r>
            <w:r>
              <w:rPr/>
              <w:tab/>
            </w:r>
            <w:r>
              <w:rPr>
                <w:spacing w:val="-5"/>
              </w:rPr>
              <w:t>60</w:t>
            </w:r>
          </w:hyperlink>
        </w:p>
        <w:p>
          <w:pPr>
            <w:pStyle w:val="TOC3"/>
            <w:numPr>
              <w:ilvl w:val="2"/>
              <w:numId w:val="10"/>
            </w:numPr>
            <w:tabs>
              <w:tab w:pos="1171" w:val="left" w:leader="none"/>
              <w:tab w:pos="8110" w:val="left" w:leader="none"/>
            </w:tabs>
            <w:spacing w:line="240" w:lineRule="auto" w:before="266" w:after="0"/>
            <w:ind w:left="1171" w:right="0" w:hanging="506"/>
            <w:jc w:val="left"/>
          </w:pPr>
          <w:r>
            <w:rPr/>
            <w:t>Effects</w:t>
          </w:r>
          <w:r>
            <w:rPr>
              <w:spacing w:val="11"/>
            </w:rPr>
            <w:t> </w:t>
          </w:r>
          <w:r>
            <w:rPr/>
            <w:t>of</w:t>
          </w:r>
          <w:r>
            <w:rPr>
              <w:spacing w:val="9"/>
            </w:rPr>
            <w:t> </w:t>
          </w:r>
          <w:r>
            <w:rPr/>
            <w:t>carbon</w:t>
          </w:r>
          <w:r>
            <w:rPr>
              <w:spacing w:val="11"/>
            </w:rPr>
            <w:t> </w:t>
          </w:r>
          <w:r>
            <w:rPr/>
            <w:t>monoxide</w:t>
          </w:r>
          <w:r>
            <w:rPr>
              <w:spacing w:val="14"/>
            </w:rPr>
            <w:t> </w:t>
          </w:r>
          <w:r>
            <w:rPr/>
            <w:t>exposure</w:t>
          </w:r>
          <w:r>
            <w:rPr>
              <w:spacing w:val="8"/>
            </w:rPr>
            <w:t> </w:t>
          </w:r>
          <w:r>
            <w:rPr/>
            <w:t>on</w:t>
          </w:r>
          <w:r>
            <w:rPr>
              <w:spacing w:val="4"/>
            </w:rPr>
            <w:t> </w:t>
          </w:r>
          <w:r>
            <w:rPr/>
            <w:t>beam</w:t>
          </w:r>
          <w:r>
            <w:rPr>
              <w:spacing w:val="15"/>
            </w:rPr>
            <w:t> </w:t>
          </w:r>
          <w:r>
            <w:rPr/>
            <w:t>walk</w:t>
          </w:r>
          <w:r>
            <w:rPr>
              <w:spacing w:val="11"/>
            </w:rPr>
            <w:t> </w:t>
          </w:r>
          <w:r>
            <w:rPr/>
            <w:t>performance</w:t>
          </w:r>
          <w:r>
            <w:rPr>
              <w:spacing w:val="14"/>
            </w:rPr>
            <w:t> </w:t>
          </w:r>
          <w:r>
            <w:rPr>
              <w:spacing w:val="-4"/>
            </w:rPr>
            <w:t>test</w:t>
          </w:r>
          <w:r>
            <w:rPr/>
            <w:tab/>
          </w:r>
          <w:r>
            <w:rPr>
              <w:spacing w:val="-5"/>
            </w:rPr>
            <w:t>60</w:t>
          </w:r>
        </w:p>
        <w:p>
          <w:pPr>
            <w:pStyle w:val="TOC3"/>
            <w:numPr>
              <w:ilvl w:val="2"/>
              <w:numId w:val="10"/>
            </w:numPr>
            <w:tabs>
              <w:tab w:pos="1171" w:val="left" w:leader="none"/>
              <w:tab w:pos="8110" w:val="left" w:leader="none"/>
            </w:tabs>
            <w:spacing w:line="240" w:lineRule="auto" w:before="265" w:after="0"/>
            <w:ind w:left="1171" w:right="0" w:hanging="506"/>
            <w:jc w:val="left"/>
          </w:pPr>
          <w:hyperlink w:history="true" w:anchor="_TOC_250015">
            <w:r>
              <w:rPr/>
              <w:t>Foot-slips</w:t>
            </w:r>
            <w:r>
              <w:rPr>
                <w:spacing w:val="9"/>
              </w:rPr>
              <w:t> </w:t>
            </w:r>
            <w:r>
              <w:rPr/>
              <w:t>in</w:t>
            </w:r>
            <w:r>
              <w:rPr>
                <w:spacing w:val="8"/>
              </w:rPr>
              <w:t> </w:t>
            </w:r>
            <w:r>
              <w:rPr/>
              <w:t>the</w:t>
            </w:r>
            <w:r>
              <w:rPr>
                <w:spacing w:val="12"/>
              </w:rPr>
              <w:t> </w:t>
            </w:r>
            <w:r>
              <w:rPr/>
              <w:t>control</w:t>
            </w:r>
            <w:r>
              <w:rPr>
                <w:spacing w:val="11"/>
              </w:rPr>
              <w:t> </w:t>
            </w:r>
            <w:r>
              <w:rPr/>
              <w:t>and</w:t>
            </w:r>
            <w:r>
              <w:rPr>
                <w:spacing w:val="19"/>
              </w:rPr>
              <w:t> </w:t>
            </w:r>
            <w:r>
              <w:rPr/>
              <w:t>experimental</w:t>
            </w:r>
            <w:r>
              <w:rPr>
                <w:spacing w:val="5"/>
              </w:rPr>
              <w:t> </w:t>
            </w:r>
            <w:r>
              <w:rPr>
                <w:spacing w:val="-2"/>
              </w:rPr>
              <w:t>groups</w:t>
            </w:r>
            <w:r>
              <w:rPr/>
              <w:tab/>
            </w:r>
            <w:r>
              <w:rPr>
                <w:spacing w:val="-5"/>
              </w:rPr>
              <w:t>62</w:t>
            </w:r>
          </w:hyperlink>
        </w:p>
        <w:p>
          <w:pPr>
            <w:pStyle w:val="TOC2"/>
            <w:numPr>
              <w:ilvl w:val="1"/>
              <w:numId w:val="11"/>
            </w:numPr>
            <w:tabs>
              <w:tab w:pos="1008" w:val="left" w:leader="none"/>
              <w:tab w:pos="8110" w:val="left" w:leader="none"/>
            </w:tabs>
            <w:spacing w:line="240" w:lineRule="auto" w:before="265" w:after="0"/>
            <w:ind w:left="1008" w:right="0" w:hanging="343"/>
            <w:jc w:val="left"/>
          </w:pPr>
          <w:hyperlink w:history="true" w:anchor="_TOC_250014">
            <w:r>
              <w:rPr/>
              <w:t>ANALYSIS</w:t>
            </w:r>
            <w:r>
              <w:rPr>
                <w:spacing w:val="11"/>
              </w:rPr>
              <w:t> </w:t>
            </w:r>
            <w:r>
              <w:rPr/>
              <w:t>OF</w:t>
            </w:r>
            <w:r>
              <w:rPr>
                <w:spacing w:val="12"/>
              </w:rPr>
              <w:t> </w:t>
            </w:r>
            <w:r>
              <w:rPr/>
              <w:t>BLOOD</w:t>
            </w:r>
            <w:r>
              <w:rPr>
                <w:spacing w:val="11"/>
              </w:rPr>
              <w:t> </w:t>
            </w:r>
            <w:r>
              <w:rPr>
                <w:spacing w:val="-2"/>
              </w:rPr>
              <w:t>CARBOXYHAEMOGLOBIN</w:t>
            </w:r>
            <w:r>
              <w:rPr/>
              <w:tab/>
            </w:r>
            <w:r>
              <w:rPr>
                <w:spacing w:val="-5"/>
              </w:rPr>
              <w:t>64</w:t>
            </w:r>
          </w:hyperlink>
        </w:p>
        <w:p>
          <w:pPr>
            <w:pStyle w:val="TOC2"/>
            <w:numPr>
              <w:ilvl w:val="1"/>
              <w:numId w:val="11"/>
            </w:numPr>
            <w:tabs>
              <w:tab w:pos="1008" w:val="left" w:leader="none"/>
              <w:tab w:pos="8110" w:val="left" w:leader="none"/>
            </w:tabs>
            <w:spacing w:line="240" w:lineRule="auto" w:before="266" w:after="0"/>
            <w:ind w:left="1008" w:right="0" w:hanging="343"/>
            <w:jc w:val="left"/>
          </w:pPr>
          <w:hyperlink w:history="true" w:anchor="_TOC_250013">
            <w:r>
              <w:rPr/>
              <w:t>SUMMARY</w:t>
            </w:r>
            <w:r>
              <w:rPr>
                <w:spacing w:val="13"/>
              </w:rPr>
              <w:t> </w:t>
            </w:r>
            <w:r>
              <w:rPr/>
              <w:t>OF</w:t>
            </w:r>
            <w:r>
              <w:rPr>
                <w:spacing w:val="13"/>
              </w:rPr>
              <w:t> </w:t>
            </w:r>
            <w:r>
              <w:rPr>
                <w:spacing w:val="-2"/>
              </w:rPr>
              <w:t>RESULTS</w:t>
            </w:r>
            <w:r>
              <w:rPr/>
              <w:tab/>
            </w:r>
            <w:r>
              <w:rPr>
                <w:spacing w:val="-5"/>
              </w:rPr>
              <w:t>66</w:t>
            </w:r>
          </w:hyperlink>
        </w:p>
        <w:p>
          <w:pPr>
            <w:pStyle w:val="TOC1"/>
            <w:tabs>
              <w:tab w:pos="8110" w:val="left" w:leader="none"/>
            </w:tabs>
            <w:spacing w:before="275"/>
          </w:pPr>
          <w:hyperlink w:history="true" w:anchor="_TOC_250012">
            <w:r>
              <w:rPr/>
              <w:t>CHAPTER</w:t>
            </w:r>
            <w:r>
              <w:rPr>
                <w:spacing w:val="17"/>
              </w:rPr>
              <w:t> </w:t>
            </w:r>
            <w:r>
              <w:rPr>
                <w:spacing w:val="-4"/>
              </w:rPr>
              <w:t>FIVE</w:t>
            </w:r>
            <w:r>
              <w:rPr/>
              <w:tab/>
            </w:r>
            <w:r>
              <w:rPr>
                <w:spacing w:val="-5"/>
              </w:rPr>
              <w:t>68</w:t>
            </w:r>
          </w:hyperlink>
        </w:p>
        <w:p>
          <w:pPr>
            <w:pStyle w:val="TOC2"/>
            <w:numPr>
              <w:ilvl w:val="1"/>
              <w:numId w:val="12"/>
            </w:numPr>
            <w:tabs>
              <w:tab w:pos="1008" w:val="left" w:leader="none"/>
              <w:tab w:pos="8110" w:val="left" w:leader="none"/>
            </w:tabs>
            <w:spacing w:line="240" w:lineRule="auto" w:before="260" w:after="0"/>
            <w:ind w:left="1008" w:right="0" w:hanging="343"/>
            <w:jc w:val="left"/>
          </w:pPr>
          <w:hyperlink w:history="true" w:anchor="_TOC_250011">
            <w:r>
              <w:rPr>
                <w:spacing w:val="-2"/>
              </w:rPr>
              <w:t>DISCUSSION</w:t>
            </w:r>
            <w:r>
              <w:rPr/>
              <w:tab/>
            </w:r>
            <w:r>
              <w:rPr>
                <w:spacing w:val="-5"/>
              </w:rPr>
              <w:t>68</w:t>
            </w:r>
          </w:hyperlink>
        </w:p>
        <w:p>
          <w:pPr>
            <w:pStyle w:val="TOC2"/>
            <w:numPr>
              <w:ilvl w:val="1"/>
              <w:numId w:val="12"/>
            </w:numPr>
            <w:tabs>
              <w:tab w:pos="1008" w:val="left" w:leader="none"/>
              <w:tab w:pos="8110" w:val="left" w:leader="none"/>
            </w:tabs>
            <w:spacing w:line="240" w:lineRule="auto" w:before="266" w:after="0"/>
            <w:ind w:left="1008" w:right="0" w:hanging="343"/>
            <w:jc w:val="left"/>
          </w:pPr>
          <w:hyperlink w:history="true" w:anchor="_TOC_250010">
            <w:r>
              <w:rPr/>
              <w:t>LEARNING/</w:t>
            </w:r>
            <w:r>
              <w:rPr>
                <w:spacing w:val="21"/>
              </w:rPr>
              <w:t> </w:t>
            </w:r>
            <w:r>
              <w:rPr/>
              <w:t>ACQUISITION</w:t>
            </w:r>
            <w:r>
              <w:rPr>
                <w:spacing w:val="16"/>
              </w:rPr>
              <w:t> </w:t>
            </w:r>
            <w:r>
              <w:rPr/>
              <w:t>AND</w:t>
            </w:r>
            <w:r>
              <w:rPr>
                <w:spacing w:val="17"/>
              </w:rPr>
              <w:t> </w:t>
            </w:r>
            <w:r>
              <w:rPr/>
              <w:t>MEMORY/</w:t>
            </w:r>
            <w:r>
              <w:rPr>
                <w:spacing w:val="16"/>
              </w:rPr>
              <w:t> </w:t>
            </w:r>
            <w:r>
              <w:rPr>
                <w:spacing w:val="-2"/>
              </w:rPr>
              <w:t>RECALL</w:t>
            </w:r>
            <w:r>
              <w:rPr/>
              <w:tab/>
            </w:r>
            <w:r>
              <w:rPr>
                <w:spacing w:val="-5"/>
              </w:rPr>
              <w:t>68</w:t>
            </w:r>
          </w:hyperlink>
        </w:p>
        <w:p>
          <w:pPr>
            <w:pStyle w:val="TOC3"/>
            <w:numPr>
              <w:ilvl w:val="2"/>
              <w:numId w:val="12"/>
            </w:numPr>
            <w:tabs>
              <w:tab w:pos="1171" w:val="left" w:leader="none"/>
              <w:tab w:pos="8110" w:val="left" w:leader="none"/>
            </w:tabs>
            <w:spacing w:line="240" w:lineRule="auto" w:before="265" w:after="0"/>
            <w:ind w:left="1171" w:right="0" w:hanging="506"/>
            <w:jc w:val="left"/>
          </w:pPr>
          <w:hyperlink w:history="true" w:anchor="_TOC_250009">
            <w:r>
              <w:rPr>
                <w:spacing w:val="-2"/>
              </w:rPr>
              <w:t>Learning/acquisition</w:t>
            </w:r>
            <w:r>
              <w:rPr/>
              <w:tab/>
            </w:r>
            <w:r>
              <w:rPr>
                <w:spacing w:val="-5"/>
              </w:rPr>
              <w:t>69</w:t>
            </w:r>
          </w:hyperlink>
        </w:p>
        <w:p>
          <w:pPr>
            <w:pStyle w:val="TOC3"/>
            <w:numPr>
              <w:ilvl w:val="2"/>
              <w:numId w:val="12"/>
            </w:numPr>
            <w:tabs>
              <w:tab w:pos="1171" w:val="left" w:leader="none"/>
              <w:tab w:pos="8110" w:val="left" w:leader="none"/>
            </w:tabs>
            <w:spacing w:line="240" w:lineRule="auto" w:before="266" w:after="20"/>
            <w:ind w:left="1171" w:right="0" w:hanging="506"/>
            <w:jc w:val="left"/>
          </w:pPr>
          <w:hyperlink w:history="true" w:anchor="_TOC_250008">
            <w:r>
              <w:rPr>
                <w:spacing w:val="-2"/>
              </w:rPr>
              <w:t>Memory/recall</w:t>
            </w:r>
            <w:r>
              <w:rPr/>
              <w:tab/>
            </w:r>
            <w:r>
              <w:rPr>
                <w:spacing w:val="-5"/>
              </w:rPr>
              <w:t>71</w:t>
            </w:r>
          </w:hyperlink>
        </w:p>
        <w:p>
          <w:pPr>
            <w:pStyle w:val="TOC2"/>
            <w:numPr>
              <w:ilvl w:val="1"/>
              <w:numId w:val="12"/>
            </w:numPr>
            <w:tabs>
              <w:tab w:pos="1008" w:val="left" w:leader="none"/>
              <w:tab w:pos="8337" w:val="right" w:leader="none"/>
            </w:tabs>
            <w:spacing w:line="240" w:lineRule="auto" w:before="75" w:after="0"/>
            <w:ind w:left="1008" w:right="0" w:hanging="343"/>
            <w:jc w:val="left"/>
          </w:pPr>
          <w:hyperlink w:history="true" w:anchor="_TOC_250007">
            <w:r>
              <w:rPr/>
              <w:t>BEAM</w:t>
            </w:r>
            <w:r>
              <w:rPr>
                <w:spacing w:val="9"/>
              </w:rPr>
              <w:t> </w:t>
            </w:r>
            <w:r>
              <w:rPr>
                <w:spacing w:val="-4"/>
              </w:rPr>
              <w:t>WALK</w:t>
            </w:r>
            <w:r>
              <w:rPr/>
              <w:tab/>
            </w:r>
            <w:r>
              <w:rPr>
                <w:spacing w:val="-5"/>
              </w:rPr>
              <w:t>74</w:t>
            </w:r>
          </w:hyperlink>
        </w:p>
        <w:p>
          <w:pPr>
            <w:pStyle w:val="TOC2"/>
            <w:numPr>
              <w:ilvl w:val="1"/>
              <w:numId w:val="12"/>
            </w:numPr>
            <w:tabs>
              <w:tab w:pos="1008" w:val="left" w:leader="none"/>
              <w:tab w:pos="8337" w:val="right" w:leader="none"/>
            </w:tabs>
            <w:spacing w:line="240" w:lineRule="auto" w:before="266" w:after="0"/>
            <w:ind w:left="1008" w:right="0" w:hanging="343"/>
            <w:jc w:val="left"/>
          </w:pPr>
          <w:hyperlink w:history="true" w:anchor="_TOC_250006">
            <w:r>
              <w:rPr/>
              <w:t>BLOOD</w:t>
            </w:r>
            <w:r>
              <w:rPr>
                <w:spacing w:val="28"/>
              </w:rPr>
              <w:t> </w:t>
            </w:r>
            <w:r>
              <w:rPr/>
              <w:t>CARBOXYHAEMOGLOBIN</w:t>
            </w:r>
            <w:r>
              <w:rPr>
                <w:spacing w:val="27"/>
              </w:rPr>
              <w:t> </w:t>
            </w:r>
            <w:r>
              <w:rPr>
                <w:spacing w:val="-4"/>
              </w:rPr>
              <w:t>LEVEL</w:t>
            </w:r>
            <w:r>
              <w:rPr/>
              <w:tab/>
            </w:r>
            <w:r>
              <w:rPr>
                <w:spacing w:val="-5"/>
              </w:rPr>
              <w:t>75</w:t>
            </w:r>
          </w:hyperlink>
        </w:p>
        <w:p>
          <w:pPr>
            <w:pStyle w:val="TOC1"/>
            <w:tabs>
              <w:tab w:pos="8337" w:val="right" w:leader="none"/>
            </w:tabs>
          </w:pPr>
          <w:hyperlink w:history="true" w:anchor="_TOC_250005">
            <w:r>
              <w:rPr/>
              <w:t>CHAPTER</w:t>
            </w:r>
            <w:r>
              <w:rPr>
                <w:spacing w:val="17"/>
              </w:rPr>
              <w:t> </w:t>
            </w:r>
            <w:r>
              <w:rPr>
                <w:spacing w:val="-5"/>
              </w:rPr>
              <w:t>SIX</w:t>
            </w:r>
            <w:r>
              <w:rPr/>
              <w:tab/>
            </w:r>
            <w:r>
              <w:rPr>
                <w:spacing w:val="-5"/>
              </w:rPr>
              <w:t>78</w:t>
            </w:r>
          </w:hyperlink>
        </w:p>
        <w:p>
          <w:pPr>
            <w:pStyle w:val="TOC2"/>
            <w:numPr>
              <w:ilvl w:val="1"/>
              <w:numId w:val="13"/>
            </w:numPr>
            <w:tabs>
              <w:tab w:pos="1008" w:val="left" w:leader="none"/>
              <w:tab w:pos="8337" w:val="right" w:leader="none"/>
            </w:tabs>
            <w:spacing w:line="240" w:lineRule="auto" w:before="260" w:after="0"/>
            <w:ind w:left="1008" w:right="0" w:hanging="343"/>
            <w:jc w:val="left"/>
          </w:pPr>
          <w:hyperlink w:history="true" w:anchor="_TOC_250004">
            <w:r>
              <w:rPr>
                <w:spacing w:val="-2"/>
              </w:rPr>
              <w:t>SUMMARY</w:t>
            </w:r>
            <w:r>
              <w:rPr/>
              <w:tab/>
            </w:r>
            <w:r>
              <w:rPr>
                <w:spacing w:val="-5"/>
              </w:rPr>
              <w:t>78</w:t>
            </w:r>
          </w:hyperlink>
        </w:p>
        <w:p>
          <w:pPr>
            <w:pStyle w:val="TOC2"/>
            <w:numPr>
              <w:ilvl w:val="1"/>
              <w:numId w:val="13"/>
            </w:numPr>
            <w:tabs>
              <w:tab w:pos="1008" w:val="left" w:leader="none"/>
              <w:tab w:pos="8337" w:val="right" w:leader="none"/>
            </w:tabs>
            <w:spacing w:line="240" w:lineRule="auto" w:before="266" w:after="0"/>
            <w:ind w:left="1008" w:right="0" w:hanging="343"/>
            <w:jc w:val="left"/>
          </w:pPr>
          <w:hyperlink w:history="true" w:anchor="_TOC_250003">
            <w:r>
              <w:rPr>
                <w:spacing w:val="-2"/>
              </w:rPr>
              <w:t>CONCLUSION</w:t>
            </w:r>
            <w:r>
              <w:rPr/>
              <w:tab/>
            </w:r>
            <w:r>
              <w:rPr>
                <w:spacing w:val="-5"/>
              </w:rPr>
              <w:t>79</w:t>
            </w:r>
          </w:hyperlink>
        </w:p>
        <w:p>
          <w:pPr>
            <w:pStyle w:val="TOC2"/>
            <w:numPr>
              <w:ilvl w:val="1"/>
              <w:numId w:val="13"/>
            </w:numPr>
            <w:tabs>
              <w:tab w:pos="1008" w:val="left" w:leader="none"/>
              <w:tab w:pos="8337" w:val="right" w:leader="none"/>
            </w:tabs>
            <w:spacing w:line="240" w:lineRule="auto" w:before="265" w:after="0"/>
            <w:ind w:left="1008" w:right="0" w:hanging="343"/>
            <w:jc w:val="left"/>
          </w:pPr>
          <w:hyperlink w:history="true" w:anchor="_TOC_250002">
            <w:r>
              <w:rPr>
                <w:spacing w:val="-2"/>
              </w:rPr>
              <w:t>RECOMMENDATION</w:t>
            </w:r>
            <w:r>
              <w:rPr/>
              <w:tab/>
            </w:r>
            <w:r>
              <w:rPr>
                <w:spacing w:val="-5"/>
              </w:rPr>
              <w:t>79</w:t>
            </w:r>
          </w:hyperlink>
        </w:p>
        <w:p>
          <w:pPr>
            <w:pStyle w:val="TOC2"/>
            <w:tabs>
              <w:tab w:pos="8337" w:val="right" w:leader="none"/>
            </w:tabs>
            <w:ind w:left="665" w:firstLine="0"/>
          </w:pPr>
          <w:hyperlink w:history="true" w:anchor="_TOC_250001">
            <w:r>
              <w:rPr>
                <w:spacing w:val="-2"/>
              </w:rPr>
              <w:t>REFERENCES</w:t>
            </w:r>
            <w:r>
              <w:rPr/>
              <w:tab/>
            </w:r>
            <w:r>
              <w:rPr>
                <w:spacing w:val="-5"/>
              </w:rPr>
              <w:t>81</w:t>
            </w:r>
          </w:hyperlink>
        </w:p>
        <w:p>
          <w:pPr>
            <w:pStyle w:val="TOC2"/>
            <w:tabs>
              <w:tab w:pos="8337" w:val="right" w:leader="none"/>
            </w:tabs>
            <w:spacing w:before="260"/>
            <w:ind w:left="665" w:firstLine="0"/>
          </w:pPr>
          <w:hyperlink w:history="true" w:anchor="_TOC_250000">
            <w:r>
              <w:rPr>
                <w:spacing w:val="-2"/>
              </w:rPr>
              <w:t>APPENDICES</w:t>
            </w:r>
            <w:r>
              <w:rPr/>
              <w:tab/>
            </w:r>
            <w:r>
              <w:rPr>
                <w:spacing w:val="-5"/>
              </w:rPr>
              <w:t>95</w:t>
            </w:r>
          </w:hyperlink>
        </w:p>
      </w:sdtContent>
    </w:sdt>
    <w:p>
      <w:pPr>
        <w:spacing w:after="0"/>
        <w:sectPr>
          <w:type w:val="continuous"/>
          <w:pgSz w:w="12240" w:h="15840"/>
          <w:pgMar w:header="0" w:footer="916" w:top="1260" w:bottom="1780" w:left="1720" w:right="960"/>
        </w:sectPr>
      </w:pPr>
    </w:p>
    <w:p>
      <w:pPr>
        <w:pStyle w:val="Heading2"/>
        <w:ind w:left="457" w:right="696"/>
        <w:jc w:val="center"/>
      </w:pPr>
      <w:bookmarkStart w:name="_TOC_250051" w:id="6"/>
      <w:r>
        <w:rPr/>
        <w:t>LIST</w:t>
      </w:r>
      <w:r>
        <w:rPr>
          <w:spacing w:val="7"/>
        </w:rPr>
        <w:t> </w:t>
      </w:r>
      <w:r>
        <w:rPr/>
        <w:t>OF</w:t>
      </w:r>
      <w:r>
        <w:rPr>
          <w:spacing w:val="11"/>
        </w:rPr>
        <w:t> </w:t>
      </w:r>
      <w:bookmarkEnd w:id="6"/>
      <w:r>
        <w:rPr>
          <w:spacing w:val="-2"/>
        </w:rPr>
        <w:t>FIGURES</w:t>
      </w:r>
    </w:p>
    <w:p>
      <w:pPr>
        <w:pStyle w:val="BodyText"/>
        <w:rPr>
          <w:b/>
        </w:rPr>
      </w:pPr>
    </w:p>
    <w:p>
      <w:pPr>
        <w:pStyle w:val="BodyText"/>
        <w:rPr>
          <w:b/>
        </w:rPr>
      </w:pPr>
    </w:p>
    <w:p>
      <w:pPr>
        <w:pStyle w:val="BodyText"/>
        <w:spacing w:before="20"/>
        <w:rPr>
          <w:b/>
        </w:rPr>
      </w:pPr>
    </w:p>
    <w:p>
      <w:pPr>
        <w:pStyle w:val="BodyText"/>
        <w:ind w:left="665"/>
      </w:pPr>
      <w:r>
        <w:rPr/>
        <w:t>Figure</w:t>
      </w:r>
      <w:r>
        <w:rPr>
          <w:spacing w:val="11"/>
        </w:rPr>
        <w:t> </w:t>
      </w:r>
      <w:r>
        <w:rPr/>
        <w:t>1.1:</w:t>
      </w:r>
      <w:r>
        <w:rPr>
          <w:spacing w:val="10"/>
        </w:rPr>
        <w:t> </w:t>
      </w:r>
      <w:r>
        <w:rPr/>
        <w:t>Diagrammatic</w:t>
      </w:r>
      <w:r>
        <w:rPr>
          <w:spacing w:val="11"/>
        </w:rPr>
        <w:t> </w:t>
      </w:r>
      <w:r>
        <w:rPr/>
        <w:t>presentation</w:t>
      </w:r>
      <w:r>
        <w:rPr>
          <w:spacing w:val="13"/>
        </w:rPr>
        <w:t> </w:t>
      </w:r>
      <w:r>
        <w:rPr/>
        <w:t>of</w:t>
      </w:r>
      <w:r>
        <w:rPr>
          <w:spacing w:val="19"/>
        </w:rPr>
        <w:t> </w:t>
      </w:r>
      <w:r>
        <w:rPr/>
        <w:t>carbon</w:t>
      </w:r>
      <w:r>
        <w:rPr>
          <w:spacing w:val="14"/>
        </w:rPr>
        <w:t> </w:t>
      </w:r>
      <w:r>
        <w:rPr/>
        <w:t>monoxide</w:t>
      </w:r>
      <w:r>
        <w:rPr>
          <w:spacing w:val="11"/>
        </w:rPr>
        <w:t> </w:t>
      </w:r>
      <w:r>
        <w:rPr/>
        <w:t>uptake</w:t>
      </w:r>
      <w:r>
        <w:rPr>
          <w:spacing w:val="17"/>
        </w:rPr>
        <w:t> </w:t>
      </w:r>
      <w:r>
        <w:rPr>
          <w:spacing w:val="-5"/>
        </w:rPr>
        <w:t>and</w:t>
      </w:r>
    </w:p>
    <w:p>
      <w:pPr>
        <w:pStyle w:val="BodyText"/>
        <w:spacing w:before="12"/>
      </w:pPr>
    </w:p>
    <w:p>
      <w:pPr>
        <w:pStyle w:val="BodyText"/>
        <w:tabs>
          <w:tab w:pos="8110" w:val="left" w:leader="none"/>
        </w:tabs>
        <w:ind w:left="665"/>
      </w:pPr>
      <w:r>
        <w:rPr/>
        <w:t>elimination</w:t>
      </w:r>
      <w:r>
        <w:rPr>
          <w:spacing w:val="9"/>
        </w:rPr>
        <w:t> </w:t>
      </w:r>
      <w:r>
        <w:rPr/>
        <w:t>pathways</w:t>
      </w:r>
      <w:r>
        <w:rPr>
          <w:spacing w:val="12"/>
        </w:rPr>
        <w:t> </w:t>
      </w:r>
      <w:r>
        <w:rPr/>
        <w:t>and</w:t>
      </w:r>
      <w:r>
        <w:rPr>
          <w:spacing w:val="20"/>
        </w:rPr>
        <w:t> </w:t>
      </w:r>
      <w:r>
        <w:rPr/>
        <w:t>carbon</w:t>
      </w:r>
      <w:r>
        <w:rPr>
          <w:spacing w:val="10"/>
        </w:rPr>
        <w:t> </w:t>
      </w:r>
      <w:r>
        <w:rPr/>
        <w:t>monoxide</w:t>
      </w:r>
      <w:r>
        <w:rPr>
          <w:spacing w:val="13"/>
        </w:rPr>
        <w:t> </w:t>
      </w:r>
      <w:r>
        <w:rPr/>
        <w:t>in</w:t>
      </w:r>
      <w:r>
        <w:rPr>
          <w:spacing w:val="10"/>
        </w:rPr>
        <w:t> </w:t>
      </w:r>
      <w:r>
        <w:rPr/>
        <w:t>body</w:t>
      </w:r>
      <w:r>
        <w:rPr>
          <w:spacing w:val="10"/>
        </w:rPr>
        <w:t> </w:t>
      </w:r>
      <w:r>
        <w:rPr>
          <w:spacing w:val="-2"/>
        </w:rPr>
        <w:t>stores</w:t>
      </w:r>
      <w:r>
        <w:rPr/>
        <w:tab/>
      </w:r>
      <w:r>
        <w:rPr>
          <w:spacing w:val="-10"/>
        </w:rPr>
        <w:t>8</w:t>
      </w:r>
    </w:p>
    <w:p>
      <w:pPr>
        <w:pStyle w:val="BodyText"/>
        <w:spacing w:before="13"/>
      </w:pPr>
    </w:p>
    <w:p>
      <w:pPr>
        <w:pStyle w:val="BodyText"/>
        <w:spacing w:line="491" w:lineRule="auto"/>
        <w:ind w:left="665" w:right="1979"/>
      </w:pPr>
      <w:r>
        <w:rPr/>
        <w:t>Figure 1.2: Oxyhaemoglobin dissociation curve of normal human blood, of blood containing 50% carboxyhaemoglobin, and of blood with only</w:t>
      </w:r>
    </w:p>
    <w:p>
      <w:pPr>
        <w:pStyle w:val="BodyText"/>
        <w:tabs>
          <w:tab w:pos="8110" w:val="left" w:leader="none"/>
        </w:tabs>
        <w:spacing w:line="253" w:lineRule="exact"/>
        <w:ind w:left="665"/>
      </w:pPr>
      <w:r>
        <w:rPr/>
        <w:t>50%</w:t>
      </w:r>
      <w:r>
        <w:rPr>
          <w:spacing w:val="15"/>
        </w:rPr>
        <w:t> </w:t>
      </w:r>
      <w:r>
        <w:rPr/>
        <w:t>haemoglobin</w:t>
      </w:r>
      <w:r>
        <w:rPr>
          <w:spacing w:val="13"/>
        </w:rPr>
        <w:t> </w:t>
      </w:r>
      <w:r>
        <w:rPr/>
        <w:t>because</w:t>
      </w:r>
      <w:r>
        <w:rPr>
          <w:spacing w:val="11"/>
        </w:rPr>
        <w:t> </w:t>
      </w:r>
      <w:r>
        <w:rPr/>
        <w:t>of</w:t>
      </w:r>
      <w:r>
        <w:rPr>
          <w:spacing w:val="12"/>
        </w:rPr>
        <w:t> </w:t>
      </w:r>
      <w:r>
        <w:rPr>
          <w:spacing w:val="-2"/>
        </w:rPr>
        <w:t>anaemia</w:t>
      </w:r>
      <w:r>
        <w:rPr/>
        <w:tab/>
      </w:r>
      <w:r>
        <w:rPr>
          <w:spacing w:val="-5"/>
        </w:rPr>
        <w:t>31</w:t>
      </w:r>
    </w:p>
    <w:p>
      <w:pPr>
        <w:pStyle w:val="BodyText"/>
        <w:spacing w:before="12"/>
      </w:pPr>
    </w:p>
    <w:p>
      <w:pPr>
        <w:pStyle w:val="BodyText"/>
        <w:tabs>
          <w:tab w:pos="8110" w:val="left" w:leader="none"/>
        </w:tabs>
        <w:ind w:left="665"/>
      </w:pPr>
      <w:r>
        <w:rPr/>
        <w:t>Figure</w:t>
      </w:r>
      <w:r>
        <w:rPr>
          <w:spacing w:val="9"/>
        </w:rPr>
        <w:t> </w:t>
      </w:r>
      <w:r>
        <w:rPr/>
        <w:t>3.1:</w:t>
      </w:r>
      <w:r>
        <w:rPr>
          <w:spacing w:val="8"/>
        </w:rPr>
        <w:t> </w:t>
      </w:r>
      <w:r>
        <w:rPr/>
        <w:t>Gas</w:t>
      </w:r>
      <w:r>
        <w:rPr>
          <w:spacing w:val="14"/>
        </w:rPr>
        <w:t> </w:t>
      </w:r>
      <w:r>
        <w:rPr>
          <w:spacing w:val="-2"/>
        </w:rPr>
        <w:t>chamber</w:t>
      </w:r>
      <w:r>
        <w:rPr/>
        <w:tab/>
      </w:r>
      <w:r>
        <w:rPr>
          <w:spacing w:val="-5"/>
        </w:rPr>
        <w:t>33</w:t>
      </w:r>
    </w:p>
    <w:p>
      <w:pPr>
        <w:pStyle w:val="BodyText"/>
        <w:spacing w:before="13"/>
      </w:pPr>
    </w:p>
    <w:p>
      <w:pPr>
        <w:pStyle w:val="BodyText"/>
        <w:tabs>
          <w:tab w:pos="8110" w:val="left" w:leader="none"/>
        </w:tabs>
        <w:ind w:left="665"/>
      </w:pPr>
      <w:r>
        <w:rPr/>
        <w:t>Figure</w:t>
      </w:r>
      <w:r>
        <w:rPr>
          <w:spacing w:val="12"/>
        </w:rPr>
        <w:t> </w:t>
      </w:r>
      <w:r>
        <w:rPr/>
        <w:t>3.2:</w:t>
      </w:r>
      <w:r>
        <w:rPr>
          <w:spacing w:val="11"/>
        </w:rPr>
        <w:t> </w:t>
      </w:r>
      <w:r>
        <w:rPr/>
        <w:t>Portable</w:t>
      </w:r>
      <w:r>
        <w:rPr>
          <w:spacing w:val="19"/>
        </w:rPr>
        <w:t> </w:t>
      </w:r>
      <w:r>
        <w:rPr/>
        <w:t>gasoline-powered</w:t>
      </w:r>
      <w:r>
        <w:rPr>
          <w:spacing w:val="21"/>
        </w:rPr>
        <w:t> </w:t>
      </w:r>
      <w:r>
        <w:rPr>
          <w:spacing w:val="-2"/>
        </w:rPr>
        <w:t>generator</w:t>
      </w:r>
      <w:r>
        <w:rPr/>
        <w:tab/>
      </w:r>
      <w:r>
        <w:rPr>
          <w:spacing w:val="-5"/>
        </w:rPr>
        <w:t>34</w:t>
      </w:r>
    </w:p>
    <w:p>
      <w:pPr>
        <w:pStyle w:val="BodyText"/>
        <w:spacing w:before="12"/>
      </w:pPr>
    </w:p>
    <w:p>
      <w:pPr>
        <w:pStyle w:val="BodyText"/>
        <w:tabs>
          <w:tab w:pos="8110" w:val="left" w:leader="none"/>
        </w:tabs>
        <w:ind w:left="665"/>
      </w:pPr>
      <w:r>
        <w:rPr/>
        <w:t>Figure</w:t>
      </w:r>
      <w:r>
        <w:rPr>
          <w:spacing w:val="12"/>
        </w:rPr>
        <w:t> </w:t>
      </w:r>
      <w:r>
        <w:rPr/>
        <w:t>3.3:</w:t>
      </w:r>
      <w:r>
        <w:rPr>
          <w:spacing w:val="11"/>
        </w:rPr>
        <w:t> </w:t>
      </w:r>
      <w:r>
        <w:rPr/>
        <w:t>Digital</w:t>
      </w:r>
      <w:r>
        <w:rPr>
          <w:spacing w:val="11"/>
        </w:rPr>
        <w:t> </w:t>
      </w:r>
      <w:r>
        <w:rPr/>
        <w:t>carbon</w:t>
      </w:r>
      <w:r>
        <w:rPr>
          <w:spacing w:val="9"/>
        </w:rPr>
        <w:t> </w:t>
      </w:r>
      <w:r>
        <w:rPr/>
        <w:t>monoxide</w:t>
      </w:r>
      <w:r>
        <w:rPr>
          <w:spacing w:val="18"/>
        </w:rPr>
        <w:t> </w:t>
      </w:r>
      <w:r>
        <w:rPr/>
        <w:t>monitor,</w:t>
      </w:r>
      <w:r>
        <w:rPr>
          <w:spacing w:val="20"/>
        </w:rPr>
        <w:t> </w:t>
      </w:r>
      <w:r>
        <w:rPr/>
        <w:t>Amprobe</w:t>
      </w:r>
      <w:r>
        <w:rPr>
          <w:spacing w:val="6"/>
        </w:rPr>
        <w:t> </w:t>
      </w:r>
      <w:r>
        <w:rPr>
          <w:spacing w:val="-2"/>
        </w:rPr>
        <w:t>CM100</w:t>
      </w:r>
      <w:r>
        <w:rPr/>
        <w:tab/>
      </w:r>
      <w:r>
        <w:rPr>
          <w:spacing w:val="-5"/>
        </w:rPr>
        <w:t>35</w:t>
      </w:r>
    </w:p>
    <w:p>
      <w:pPr>
        <w:pStyle w:val="BodyText"/>
        <w:spacing w:before="17"/>
      </w:pPr>
    </w:p>
    <w:p>
      <w:pPr>
        <w:pStyle w:val="BodyText"/>
        <w:tabs>
          <w:tab w:pos="8110" w:val="left" w:leader="none"/>
        </w:tabs>
        <w:ind w:left="665"/>
      </w:pPr>
      <w:r>
        <w:rPr/>
        <w:t>Figure</w:t>
      </w:r>
      <w:r>
        <w:rPr>
          <w:spacing w:val="10"/>
        </w:rPr>
        <w:t> </w:t>
      </w:r>
      <w:r>
        <w:rPr/>
        <w:t>3.4:</w:t>
      </w:r>
      <w:r>
        <w:rPr>
          <w:spacing w:val="8"/>
        </w:rPr>
        <w:t> </w:t>
      </w:r>
      <w:r>
        <w:rPr/>
        <w:t>Beam</w:t>
      </w:r>
      <w:r>
        <w:rPr>
          <w:spacing w:val="13"/>
        </w:rPr>
        <w:t> </w:t>
      </w:r>
      <w:r>
        <w:rPr>
          <w:spacing w:val="-4"/>
        </w:rPr>
        <w:t>walk</w:t>
      </w:r>
      <w:r>
        <w:rPr/>
        <w:tab/>
      </w:r>
      <w:r>
        <w:rPr>
          <w:spacing w:val="-5"/>
        </w:rPr>
        <w:t>40</w:t>
      </w:r>
    </w:p>
    <w:p>
      <w:pPr>
        <w:pStyle w:val="BodyText"/>
        <w:spacing w:before="13"/>
      </w:pPr>
    </w:p>
    <w:p>
      <w:pPr>
        <w:pStyle w:val="BodyText"/>
        <w:tabs>
          <w:tab w:pos="8110" w:val="left" w:leader="none"/>
        </w:tabs>
        <w:ind w:left="665"/>
      </w:pPr>
      <w:r>
        <w:rPr/>
        <w:t>Figure</w:t>
      </w:r>
      <w:r>
        <w:rPr>
          <w:spacing w:val="9"/>
        </w:rPr>
        <w:t> </w:t>
      </w:r>
      <w:r>
        <w:rPr/>
        <w:t>3.5:</w:t>
      </w:r>
      <w:r>
        <w:rPr>
          <w:spacing w:val="4"/>
        </w:rPr>
        <w:t> </w:t>
      </w:r>
      <w:r>
        <w:rPr/>
        <w:t>Elevated</w:t>
      </w:r>
      <w:r>
        <w:rPr>
          <w:spacing w:val="19"/>
        </w:rPr>
        <w:t> </w:t>
      </w:r>
      <w:r>
        <w:rPr/>
        <w:t>plus</w:t>
      </w:r>
      <w:r>
        <w:rPr>
          <w:spacing w:val="13"/>
        </w:rPr>
        <w:t> </w:t>
      </w:r>
      <w:r>
        <w:rPr>
          <w:spacing w:val="-4"/>
        </w:rPr>
        <w:t>maze</w:t>
      </w:r>
      <w:r>
        <w:rPr/>
        <w:tab/>
      </w:r>
      <w:r>
        <w:rPr>
          <w:spacing w:val="-5"/>
        </w:rPr>
        <w:t>42</w:t>
      </w:r>
    </w:p>
    <w:p>
      <w:pPr>
        <w:pStyle w:val="BodyText"/>
        <w:spacing w:before="12"/>
      </w:pPr>
    </w:p>
    <w:p>
      <w:pPr>
        <w:pStyle w:val="BodyText"/>
        <w:ind w:left="665"/>
      </w:pPr>
      <w:r>
        <w:rPr/>
        <w:t>Figure</w:t>
      </w:r>
      <w:r>
        <w:rPr>
          <w:spacing w:val="6"/>
        </w:rPr>
        <w:t> </w:t>
      </w:r>
      <w:r>
        <w:rPr/>
        <w:t>3.6:</w:t>
      </w:r>
      <w:r>
        <w:rPr>
          <w:spacing w:val="6"/>
        </w:rPr>
        <w:t> </w:t>
      </w:r>
      <w:r>
        <w:rPr/>
        <w:t>Calculated</w:t>
      </w:r>
      <w:r>
        <w:rPr>
          <w:spacing w:val="20"/>
        </w:rPr>
        <w:t> </w:t>
      </w:r>
      <w:r>
        <w:rPr/>
        <w:t>values</w:t>
      </w:r>
      <w:r>
        <w:rPr>
          <w:spacing w:val="10"/>
        </w:rPr>
        <w:t> </w:t>
      </w:r>
      <w:r>
        <w:rPr/>
        <w:t>of</w:t>
      </w:r>
      <w:r>
        <w:rPr>
          <w:spacing w:val="8"/>
        </w:rPr>
        <w:t> </w:t>
      </w:r>
      <w:r>
        <w:rPr/>
        <w:t>A</w:t>
      </w:r>
      <w:r>
        <w:rPr>
          <w:vertAlign w:val="subscript"/>
        </w:rPr>
        <w:t>R</w:t>
      </w:r>
      <w:r>
        <w:rPr>
          <w:spacing w:val="14"/>
          <w:vertAlign w:val="baseline"/>
        </w:rPr>
        <w:t> </w:t>
      </w:r>
      <w:r>
        <w:rPr>
          <w:vertAlign w:val="baseline"/>
        </w:rPr>
        <w:t>at</w:t>
      </w:r>
      <w:r>
        <w:rPr>
          <w:spacing w:val="17"/>
          <w:vertAlign w:val="baseline"/>
        </w:rPr>
        <w:t> </w:t>
      </w:r>
      <w:r>
        <w:rPr>
          <w:vertAlign w:val="baseline"/>
        </w:rPr>
        <w:t>various</w:t>
      </w:r>
      <w:r>
        <w:rPr>
          <w:spacing w:val="4"/>
          <w:vertAlign w:val="baseline"/>
        </w:rPr>
        <w:t> </w:t>
      </w:r>
      <w:r>
        <w:rPr>
          <w:vertAlign w:val="baseline"/>
        </w:rPr>
        <w:t>proportions</w:t>
      </w:r>
      <w:r>
        <w:rPr>
          <w:spacing w:val="11"/>
          <w:vertAlign w:val="baseline"/>
        </w:rPr>
        <w:t> </w:t>
      </w:r>
      <w:r>
        <w:rPr>
          <w:spacing w:val="-5"/>
          <w:vertAlign w:val="baseline"/>
        </w:rPr>
        <w:t>of</w:t>
      </w:r>
    </w:p>
    <w:p>
      <w:pPr>
        <w:pStyle w:val="BodyText"/>
        <w:spacing w:before="13"/>
      </w:pPr>
    </w:p>
    <w:p>
      <w:pPr>
        <w:pStyle w:val="BodyText"/>
        <w:tabs>
          <w:tab w:pos="8110" w:val="left" w:leader="none"/>
        </w:tabs>
        <w:ind w:left="665"/>
      </w:pPr>
      <w:r>
        <w:rPr>
          <w:spacing w:val="-2"/>
        </w:rPr>
        <w:t>carboxyhaemoglobin</w:t>
      </w:r>
      <w:r>
        <w:rPr/>
        <w:tab/>
      </w:r>
      <w:r>
        <w:rPr>
          <w:spacing w:val="-5"/>
        </w:rPr>
        <w:t>102</w:t>
      </w:r>
    </w:p>
    <w:p>
      <w:pPr>
        <w:pStyle w:val="BodyText"/>
        <w:spacing w:before="12"/>
      </w:pPr>
    </w:p>
    <w:p>
      <w:pPr>
        <w:pStyle w:val="BodyText"/>
        <w:ind w:left="665"/>
      </w:pPr>
      <w:r>
        <w:rPr/>
        <w:t>Figure</w:t>
      </w:r>
      <w:r>
        <w:rPr>
          <w:spacing w:val="8"/>
        </w:rPr>
        <w:t> </w:t>
      </w:r>
      <w:r>
        <w:rPr/>
        <w:t>4.1:</w:t>
      </w:r>
      <w:r>
        <w:rPr>
          <w:spacing w:val="2"/>
        </w:rPr>
        <w:t> </w:t>
      </w:r>
      <w:r>
        <w:rPr/>
        <w:t>Transfer</w:t>
      </w:r>
      <w:r>
        <w:rPr>
          <w:spacing w:val="15"/>
        </w:rPr>
        <w:t> </w:t>
      </w:r>
      <w:r>
        <w:rPr/>
        <w:t>latencies</w:t>
      </w:r>
      <w:r>
        <w:rPr>
          <w:spacing w:val="11"/>
        </w:rPr>
        <w:t> </w:t>
      </w:r>
      <w:r>
        <w:rPr/>
        <w:t>of</w:t>
      </w:r>
      <w:r>
        <w:rPr>
          <w:spacing w:val="10"/>
        </w:rPr>
        <w:t> </w:t>
      </w:r>
      <w:r>
        <w:rPr/>
        <w:t>control</w:t>
      </w:r>
      <w:r>
        <w:rPr>
          <w:spacing w:val="13"/>
        </w:rPr>
        <w:t> </w:t>
      </w:r>
      <w:r>
        <w:rPr/>
        <w:t>and</w:t>
      </w:r>
      <w:r>
        <w:rPr>
          <w:spacing w:val="21"/>
        </w:rPr>
        <w:t> </w:t>
      </w:r>
      <w:r>
        <w:rPr/>
        <w:t>experimental</w:t>
      </w:r>
      <w:r>
        <w:rPr>
          <w:spacing w:val="12"/>
        </w:rPr>
        <w:t> </w:t>
      </w:r>
      <w:r>
        <w:rPr>
          <w:spacing w:val="-2"/>
        </w:rPr>
        <w:t>groups</w:t>
      </w:r>
    </w:p>
    <w:p>
      <w:pPr>
        <w:pStyle w:val="BodyText"/>
        <w:spacing w:before="12"/>
      </w:pPr>
    </w:p>
    <w:p>
      <w:pPr>
        <w:pStyle w:val="BodyText"/>
        <w:tabs>
          <w:tab w:pos="8110" w:val="left" w:leader="none"/>
        </w:tabs>
        <w:spacing w:before="1"/>
        <w:ind w:left="665"/>
      </w:pPr>
      <w:r>
        <w:rPr/>
        <w:t>during</w:t>
      </w:r>
      <w:r>
        <w:rPr>
          <w:spacing w:val="15"/>
        </w:rPr>
        <w:t> </w:t>
      </w:r>
      <w:r>
        <w:rPr/>
        <w:t>the</w:t>
      </w:r>
      <w:r>
        <w:rPr>
          <w:spacing w:val="18"/>
        </w:rPr>
        <w:t> </w:t>
      </w:r>
      <w:r>
        <w:rPr/>
        <w:t>acquisition/learning</w:t>
      </w:r>
      <w:r>
        <w:rPr>
          <w:spacing w:val="15"/>
        </w:rPr>
        <w:t> </w:t>
      </w:r>
      <w:r>
        <w:rPr>
          <w:spacing w:val="-4"/>
        </w:rPr>
        <w:t>test</w:t>
      </w:r>
      <w:r>
        <w:rPr/>
        <w:tab/>
      </w:r>
      <w:r>
        <w:rPr>
          <w:spacing w:val="-5"/>
        </w:rPr>
        <w:t>53</w:t>
      </w:r>
    </w:p>
    <w:p>
      <w:pPr>
        <w:pStyle w:val="BodyText"/>
        <w:spacing w:before="12"/>
      </w:pPr>
    </w:p>
    <w:p>
      <w:pPr>
        <w:pStyle w:val="BodyText"/>
        <w:ind w:left="665"/>
      </w:pPr>
      <w:r>
        <w:rPr/>
        <w:t>Figure</w:t>
      </w:r>
      <w:r>
        <w:rPr>
          <w:spacing w:val="8"/>
        </w:rPr>
        <w:t> </w:t>
      </w:r>
      <w:r>
        <w:rPr/>
        <w:t>4.2:</w:t>
      </w:r>
      <w:r>
        <w:rPr>
          <w:spacing w:val="3"/>
        </w:rPr>
        <w:t> </w:t>
      </w:r>
      <w:r>
        <w:rPr/>
        <w:t>Transfer</w:t>
      </w:r>
      <w:r>
        <w:rPr>
          <w:spacing w:val="15"/>
        </w:rPr>
        <w:t> </w:t>
      </w:r>
      <w:r>
        <w:rPr/>
        <w:t>latencies</w:t>
      </w:r>
      <w:r>
        <w:rPr>
          <w:spacing w:val="12"/>
        </w:rPr>
        <w:t> </w:t>
      </w:r>
      <w:r>
        <w:rPr/>
        <w:t>of</w:t>
      </w:r>
      <w:r>
        <w:rPr>
          <w:spacing w:val="10"/>
        </w:rPr>
        <w:t> </w:t>
      </w:r>
      <w:r>
        <w:rPr/>
        <w:t>the</w:t>
      </w:r>
      <w:r>
        <w:rPr>
          <w:spacing w:val="9"/>
        </w:rPr>
        <w:t> </w:t>
      </w:r>
      <w:r>
        <w:rPr/>
        <w:t>control</w:t>
      </w:r>
      <w:r>
        <w:rPr>
          <w:spacing w:val="7"/>
        </w:rPr>
        <w:t> </w:t>
      </w:r>
      <w:r>
        <w:rPr/>
        <w:t>and</w:t>
      </w:r>
      <w:r>
        <w:rPr>
          <w:spacing w:val="22"/>
        </w:rPr>
        <w:t> </w:t>
      </w:r>
      <w:r>
        <w:rPr/>
        <w:t>experimental</w:t>
      </w:r>
      <w:r>
        <w:rPr>
          <w:spacing w:val="13"/>
        </w:rPr>
        <w:t> </w:t>
      </w:r>
      <w:r>
        <w:rPr>
          <w:spacing w:val="-2"/>
        </w:rPr>
        <w:t>groups</w:t>
      </w:r>
    </w:p>
    <w:p>
      <w:pPr>
        <w:pStyle w:val="BodyText"/>
        <w:spacing w:before="12"/>
      </w:pPr>
    </w:p>
    <w:p>
      <w:pPr>
        <w:pStyle w:val="BodyText"/>
        <w:tabs>
          <w:tab w:pos="8110" w:val="left" w:leader="none"/>
        </w:tabs>
        <w:spacing w:before="1"/>
        <w:ind w:left="665"/>
      </w:pPr>
      <w:r>
        <w:rPr/>
        <w:t>during</w:t>
      </w:r>
      <w:r>
        <w:rPr>
          <w:spacing w:val="17"/>
        </w:rPr>
        <w:t> </w:t>
      </w:r>
      <w:r>
        <w:rPr/>
        <w:t>the</w:t>
      </w:r>
      <w:r>
        <w:rPr>
          <w:spacing w:val="20"/>
        </w:rPr>
        <w:t> </w:t>
      </w:r>
      <w:r>
        <w:rPr/>
        <w:t>recall/memory</w:t>
      </w:r>
      <w:r>
        <w:rPr>
          <w:spacing w:val="4"/>
        </w:rPr>
        <w:t> </w:t>
      </w:r>
      <w:r>
        <w:rPr/>
        <w:t>Task</w:t>
      </w:r>
      <w:r>
        <w:rPr>
          <w:spacing w:val="11"/>
        </w:rPr>
        <w:t> </w:t>
      </w:r>
      <w:r>
        <w:rPr/>
        <w:t>(Day-</w:t>
      </w:r>
      <w:r>
        <w:rPr>
          <w:spacing w:val="-5"/>
        </w:rPr>
        <w:t>2)</w:t>
      </w:r>
      <w:r>
        <w:rPr/>
        <w:tab/>
      </w:r>
      <w:r>
        <w:rPr>
          <w:spacing w:val="-5"/>
        </w:rPr>
        <w:t>55</w:t>
      </w:r>
    </w:p>
    <w:p>
      <w:pPr>
        <w:pStyle w:val="BodyText"/>
        <w:spacing w:before="12"/>
      </w:pPr>
    </w:p>
    <w:p>
      <w:pPr>
        <w:pStyle w:val="BodyText"/>
        <w:tabs>
          <w:tab w:pos="8110" w:val="left" w:leader="none"/>
        </w:tabs>
        <w:ind w:left="665"/>
      </w:pPr>
      <w:r>
        <w:rPr/>
        <w:t>Figure</w:t>
      </w:r>
      <w:r>
        <w:rPr>
          <w:spacing w:val="5"/>
        </w:rPr>
        <w:t> </w:t>
      </w:r>
      <w:r>
        <w:rPr/>
        <w:t>4.3:</w:t>
      </w:r>
      <w:r>
        <w:rPr>
          <w:spacing w:val="-1"/>
        </w:rPr>
        <w:t> </w:t>
      </w:r>
      <w:r>
        <w:rPr/>
        <w:t>Transfer</w:t>
      </w:r>
      <w:r>
        <w:rPr>
          <w:spacing w:val="13"/>
        </w:rPr>
        <w:t> </w:t>
      </w:r>
      <w:r>
        <w:rPr/>
        <w:t>latencies</w:t>
      </w:r>
      <w:r>
        <w:rPr>
          <w:spacing w:val="8"/>
        </w:rPr>
        <w:t> </w:t>
      </w:r>
      <w:r>
        <w:rPr/>
        <w:t>in</w:t>
      </w:r>
      <w:r>
        <w:rPr>
          <w:spacing w:val="8"/>
        </w:rPr>
        <w:t> </w:t>
      </w:r>
      <w:r>
        <w:rPr/>
        <w:t>Day-1</w:t>
      </w:r>
      <w:r>
        <w:rPr>
          <w:spacing w:val="18"/>
        </w:rPr>
        <w:t> </w:t>
      </w:r>
      <w:r>
        <w:rPr/>
        <w:t>and</w:t>
      </w:r>
      <w:r>
        <w:rPr>
          <w:spacing w:val="18"/>
        </w:rPr>
        <w:t> </w:t>
      </w:r>
      <w:r>
        <w:rPr/>
        <w:t>Day-2</w:t>
      </w:r>
      <w:r>
        <w:rPr>
          <w:spacing w:val="12"/>
        </w:rPr>
        <w:t> </w:t>
      </w:r>
      <w:r>
        <w:rPr/>
        <w:t>tests</w:t>
      </w:r>
      <w:r>
        <w:rPr>
          <w:spacing w:val="8"/>
        </w:rPr>
        <w:t> </w:t>
      </w:r>
      <w:r>
        <w:rPr/>
        <w:t>of</w:t>
      </w:r>
      <w:r>
        <w:rPr>
          <w:spacing w:val="7"/>
        </w:rPr>
        <w:t> </w:t>
      </w:r>
      <w:r>
        <w:rPr/>
        <w:t>the</w:t>
      </w:r>
      <w:r>
        <w:rPr>
          <w:spacing w:val="11"/>
        </w:rPr>
        <w:t> </w:t>
      </w:r>
      <w:r>
        <w:rPr/>
        <w:t>control</w:t>
      </w:r>
      <w:r>
        <w:rPr>
          <w:spacing w:val="4"/>
        </w:rPr>
        <w:t> </w:t>
      </w:r>
      <w:r>
        <w:rPr>
          <w:spacing w:val="-2"/>
        </w:rPr>
        <w:t>group</w:t>
      </w:r>
      <w:r>
        <w:rPr/>
        <w:tab/>
      </w:r>
      <w:r>
        <w:rPr>
          <w:spacing w:val="-5"/>
        </w:rPr>
        <w:t>57</w:t>
      </w:r>
    </w:p>
    <w:p>
      <w:pPr>
        <w:pStyle w:val="BodyText"/>
        <w:spacing w:before="12"/>
      </w:pPr>
    </w:p>
    <w:p>
      <w:pPr>
        <w:pStyle w:val="BodyText"/>
        <w:tabs>
          <w:tab w:pos="8110" w:val="left" w:leader="none"/>
        </w:tabs>
        <w:ind w:left="665"/>
      </w:pPr>
      <w:r>
        <w:rPr/>
        <w:t>Figure</w:t>
      </w:r>
      <w:r>
        <w:rPr>
          <w:spacing w:val="5"/>
        </w:rPr>
        <w:t> </w:t>
      </w:r>
      <w:r>
        <w:rPr/>
        <w:t>4.4: Transfer</w:t>
      </w:r>
      <w:r>
        <w:rPr>
          <w:spacing w:val="12"/>
        </w:rPr>
        <w:t> </w:t>
      </w:r>
      <w:r>
        <w:rPr/>
        <w:t>latencies</w:t>
      </w:r>
      <w:r>
        <w:rPr>
          <w:spacing w:val="9"/>
        </w:rPr>
        <w:t> </w:t>
      </w:r>
      <w:r>
        <w:rPr/>
        <w:t>in</w:t>
      </w:r>
      <w:r>
        <w:rPr>
          <w:spacing w:val="8"/>
        </w:rPr>
        <w:t> </w:t>
      </w:r>
      <w:r>
        <w:rPr/>
        <w:t>Day-1</w:t>
      </w:r>
      <w:r>
        <w:rPr>
          <w:spacing w:val="18"/>
        </w:rPr>
        <w:t> </w:t>
      </w:r>
      <w:r>
        <w:rPr/>
        <w:t>and</w:t>
      </w:r>
      <w:r>
        <w:rPr>
          <w:spacing w:val="18"/>
        </w:rPr>
        <w:t> </w:t>
      </w:r>
      <w:r>
        <w:rPr/>
        <w:t>Day-2</w:t>
      </w:r>
      <w:r>
        <w:rPr>
          <w:spacing w:val="13"/>
        </w:rPr>
        <w:t> </w:t>
      </w:r>
      <w:r>
        <w:rPr/>
        <w:t>tests</w:t>
      </w:r>
      <w:r>
        <w:rPr>
          <w:spacing w:val="9"/>
        </w:rPr>
        <w:t> </w:t>
      </w:r>
      <w:r>
        <w:rPr/>
        <w:t>of</w:t>
      </w:r>
      <w:r>
        <w:rPr>
          <w:spacing w:val="6"/>
        </w:rPr>
        <w:t> </w:t>
      </w:r>
      <w:r>
        <w:rPr/>
        <w:t>experimental</w:t>
      </w:r>
      <w:r>
        <w:rPr>
          <w:spacing w:val="16"/>
        </w:rPr>
        <w:t> </w:t>
      </w:r>
      <w:r>
        <w:rPr>
          <w:spacing w:val="-2"/>
        </w:rPr>
        <w:t>group</w:t>
      </w:r>
      <w:r>
        <w:rPr/>
        <w:tab/>
      </w:r>
      <w:r>
        <w:rPr>
          <w:spacing w:val="-5"/>
        </w:rPr>
        <w:t>59</w:t>
      </w:r>
    </w:p>
    <w:p>
      <w:pPr>
        <w:pStyle w:val="BodyText"/>
        <w:spacing w:before="17"/>
      </w:pPr>
    </w:p>
    <w:p>
      <w:pPr>
        <w:pStyle w:val="BodyText"/>
        <w:spacing w:before="1"/>
        <w:ind w:left="665"/>
      </w:pPr>
      <w:r>
        <w:rPr/>
        <w:t>Figure</w:t>
      </w:r>
      <w:r>
        <w:rPr>
          <w:spacing w:val="8"/>
        </w:rPr>
        <w:t> </w:t>
      </w:r>
      <w:r>
        <w:rPr/>
        <w:t>4.5:</w:t>
      </w:r>
      <w:r>
        <w:rPr>
          <w:spacing w:val="2"/>
        </w:rPr>
        <w:t> </w:t>
      </w:r>
      <w:r>
        <w:rPr/>
        <w:t>Transfer</w:t>
      </w:r>
      <w:r>
        <w:rPr>
          <w:spacing w:val="16"/>
        </w:rPr>
        <w:t> </w:t>
      </w:r>
      <w:r>
        <w:rPr/>
        <w:t>latencies</w:t>
      </w:r>
      <w:r>
        <w:rPr>
          <w:spacing w:val="12"/>
        </w:rPr>
        <w:t> </w:t>
      </w:r>
      <w:r>
        <w:rPr/>
        <w:t>of</w:t>
      </w:r>
      <w:r>
        <w:rPr>
          <w:spacing w:val="9"/>
        </w:rPr>
        <w:t> </w:t>
      </w:r>
      <w:r>
        <w:rPr/>
        <w:t>the</w:t>
      </w:r>
      <w:r>
        <w:rPr>
          <w:spacing w:val="9"/>
        </w:rPr>
        <w:t> </w:t>
      </w:r>
      <w:r>
        <w:rPr/>
        <w:t>control</w:t>
      </w:r>
      <w:r>
        <w:rPr>
          <w:spacing w:val="7"/>
        </w:rPr>
        <w:t> </w:t>
      </w:r>
      <w:r>
        <w:rPr/>
        <w:t>and</w:t>
      </w:r>
      <w:r>
        <w:rPr>
          <w:spacing w:val="22"/>
        </w:rPr>
        <w:t> </w:t>
      </w:r>
      <w:r>
        <w:rPr/>
        <w:t>experimental</w:t>
      </w:r>
      <w:r>
        <w:rPr>
          <w:spacing w:val="13"/>
        </w:rPr>
        <w:t> </w:t>
      </w:r>
      <w:r>
        <w:rPr>
          <w:spacing w:val="-2"/>
        </w:rPr>
        <w:t>groups</w:t>
      </w:r>
    </w:p>
    <w:p>
      <w:pPr>
        <w:pStyle w:val="BodyText"/>
        <w:spacing w:before="12"/>
      </w:pPr>
    </w:p>
    <w:p>
      <w:pPr>
        <w:pStyle w:val="BodyText"/>
        <w:tabs>
          <w:tab w:pos="8110" w:val="left" w:leader="none"/>
        </w:tabs>
        <w:ind w:left="665"/>
      </w:pPr>
      <w:r>
        <w:rPr/>
        <w:t>during</w:t>
      </w:r>
      <w:r>
        <w:rPr>
          <w:spacing w:val="9"/>
        </w:rPr>
        <w:t> </w:t>
      </w:r>
      <w:r>
        <w:rPr/>
        <w:t>beam</w:t>
      </w:r>
      <w:r>
        <w:rPr>
          <w:spacing w:val="15"/>
        </w:rPr>
        <w:t> </w:t>
      </w:r>
      <w:r>
        <w:rPr/>
        <w:t>walk</w:t>
      </w:r>
      <w:r>
        <w:rPr>
          <w:spacing w:val="10"/>
        </w:rPr>
        <w:t> </w:t>
      </w:r>
      <w:r>
        <w:rPr/>
        <w:t>performance</w:t>
      </w:r>
      <w:r>
        <w:rPr>
          <w:spacing w:val="13"/>
        </w:rPr>
        <w:t> </w:t>
      </w:r>
      <w:r>
        <w:rPr>
          <w:spacing w:val="-4"/>
        </w:rPr>
        <w:t>test</w:t>
      </w:r>
      <w:r>
        <w:rPr/>
        <w:tab/>
      </w:r>
      <w:r>
        <w:rPr>
          <w:spacing w:val="-5"/>
        </w:rPr>
        <w:t>61</w:t>
      </w:r>
    </w:p>
    <w:p>
      <w:pPr>
        <w:pStyle w:val="BodyText"/>
        <w:spacing w:before="12"/>
      </w:pPr>
    </w:p>
    <w:p>
      <w:pPr>
        <w:pStyle w:val="BodyText"/>
        <w:tabs>
          <w:tab w:pos="8110" w:val="left" w:leader="none"/>
        </w:tabs>
        <w:spacing w:before="1"/>
        <w:ind w:left="665"/>
      </w:pPr>
      <w:r>
        <w:rPr/>
        <w:t>Figure</w:t>
      </w:r>
      <w:r>
        <w:rPr>
          <w:spacing w:val="9"/>
        </w:rPr>
        <w:t> </w:t>
      </w:r>
      <w:r>
        <w:rPr/>
        <w:t>4.6:</w:t>
      </w:r>
      <w:r>
        <w:rPr>
          <w:spacing w:val="3"/>
        </w:rPr>
        <w:t> </w:t>
      </w:r>
      <w:r>
        <w:rPr/>
        <w:t>Mean</w:t>
      </w:r>
      <w:r>
        <w:rPr>
          <w:spacing w:val="11"/>
        </w:rPr>
        <w:t> </w:t>
      </w:r>
      <w:r>
        <w:rPr/>
        <w:t>foot-slips</w:t>
      </w:r>
      <w:r>
        <w:rPr>
          <w:spacing w:val="13"/>
        </w:rPr>
        <w:t> </w:t>
      </w:r>
      <w:r>
        <w:rPr/>
        <w:t>during</w:t>
      </w:r>
      <w:r>
        <w:rPr>
          <w:spacing w:val="11"/>
        </w:rPr>
        <w:t> </w:t>
      </w:r>
      <w:r>
        <w:rPr/>
        <w:t>beam</w:t>
      </w:r>
      <w:r>
        <w:rPr>
          <w:spacing w:val="16"/>
        </w:rPr>
        <w:t> </w:t>
      </w:r>
      <w:r>
        <w:rPr/>
        <w:t>walk</w:t>
      </w:r>
      <w:r>
        <w:rPr>
          <w:spacing w:val="12"/>
        </w:rPr>
        <w:t> </w:t>
      </w:r>
      <w:r>
        <w:rPr>
          <w:spacing w:val="-4"/>
        </w:rPr>
        <w:t>test</w:t>
      </w:r>
      <w:r>
        <w:rPr/>
        <w:tab/>
      </w:r>
      <w:r>
        <w:rPr>
          <w:spacing w:val="-5"/>
        </w:rPr>
        <w:t>63</w:t>
      </w:r>
    </w:p>
    <w:p>
      <w:pPr>
        <w:pStyle w:val="BodyText"/>
        <w:spacing w:before="12"/>
      </w:pPr>
    </w:p>
    <w:p>
      <w:pPr>
        <w:pStyle w:val="BodyText"/>
        <w:tabs>
          <w:tab w:pos="8110" w:val="left" w:leader="none"/>
        </w:tabs>
        <w:ind w:left="665"/>
      </w:pPr>
      <w:r>
        <w:rPr/>
        <w:t>Figure</w:t>
      </w:r>
      <w:r>
        <w:rPr>
          <w:spacing w:val="11"/>
        </w:rPr>
        <w:t> </w:t>
      </w:r>
      <w:r>
        <w:rPr/>
        <w:t>4.7:</w:t>
      </w:r>
      <w:r>
        <w:rPr>
          <w:spacing w:val="11"/>
        </w:rPr>
        <w:t> </w:t>
      </w:r>
      <w:r>
        <w:rPr/>
        <w:t>Percentage</w:t>
      </w:r>
      <w:r>
        <w:rPr>
          <w:spacing w:val="12"/>
        </w:rPr>
        <w:t> </w:t>
      </w:r>
      <w:r>
        <w:rPr/>
        <w:t>carboxyhaemoglobin</w:t>
      </w:r>
      <w:r>
        <w:rPr>
          <w:spacing w:val="8"/>
        </w:rPr>
        <w:t> </w:t>
      </w:r>
      <w:r>
        <w:rPr/>
        <w:t>in</w:t>
      </w:r>
      <w:r>
        <w:rPr>
          <w:spacing w:val="14"/>
        </w:rPr>
        <w:t> </w:t>
      </w:r>
      <w:r>
        <w:rPr/>
        <w:t>control</w:t>
      </w:r>
      <w:r>
        <w:rPr>
          <w:spacing w:val="17"/>
        </w:rPr>
        <w:t> </w:t>
      </w:r>
      <w:r>
        <w:rPr/>
        <w:t>and</w:t>
      </w:r>
      <w:r>
        <w:rPr>
          <w:spacing w:val="26"/>
        </w:rPr>
        <w:t> </w:t>
      </w:r>
      <w:r>
        <w:rPr/>
        <w:t>experimental</w:t>
      </w:r>
      <w:r>
        <w:rPr>
          <w:spacing w:val="10"/>
        </w:rPr>
        <w:t> </w:t>
      </w:r>
      <w:r>
        <w:rPr>
          <w:spacing w:val="-2"/>
        </w:rPr>
        <w:t>groups</w:t>
      </w:r>
      <w:r>
        <w:rPr/>
        <w:tab/>
      </w:r>
      <w:r>
        <w:rPr>
          <w:spacing w:val="-5"/>
        </w:rPr>
        <w:t>65</w:t>
      </w:r>
    </w:p>
    <w:p>
      <w:pPr>
        <w:spacing w:after="0"/>
        <w:sectPr>
          <w:pgSz w:w="12240" w:h="15840"/>
          <w:pgMar w:header="0" w:footer="916" w:top="1260" w:bottom="1100" w:left="1720" w:right="960"/>
        </w:sectPr>
      </w:pPr>
    </w:p>
    <w:p>
      <w:pPr>
        <w:pStyle w:val="Heading2"/>
        <w:ind w:left="457" w:right="701"/>
        <w:jc w:val="center"/>
      </w:pPr>
      <w:bookmarkStart w:name="_TOC_250050" w:id="7"/>
      <w:r>
        <w:rPr/>
        <w:t>LIST</w:t>
      </w:r>
      <w:r>
        <w:rPr>
          <w:spacing w:val="9"/>
        </w:rPr>
        <w:t> </w:t>
      </w:r>
      <w:r>
        <w:rPr/>
        <w:t>OF</w:t>
      </w:r>
      <w:r>
        <w:rPr>
          <w:spacing w:val="8"/>
        </w:rPr>
        <w:t> </w:t>
      </w:r>
      <w:bookmarkEnd w:id="7"/>
      <w:r>
        <w:rPr>
          <w:spacing w:val="-2"/>
        </w:rPr>
        <w:t>TABLES</w:t>
      </w:r>
    </w:p>
    <w:p>
      <w:pPr>
        <w:pStyle w:val="BodyText"/>
        <w:tabs>
          <w:tab w:pos="8110" w:val="left" w:leader="none"/>
        </w:tabs>
        <w:spacing w:before="779"/>
        <w:ind w:left="665"/>
      </w:pPr>
      <w:r>
        <w:rPr/>
        <w:t>Table</w:t>
      </w:r>
      <w:r>
        <w:rPr>
          <w:spacing w:val="7"/>
        </w:rPr>
        <w:t> </w:t>
      </w:r>
      <w:r>
        <w:rPr/>
        <w:t>1.1:</w:t>
      </w:r>
      <w:r>
        <w:rPr>
          <w:spacing w:val="7"/>
        </w:rPr>
        <w:t> </w:t>
      </w:r>
      <w:r>
        <w:rPr/>
        <w:t>Nigerian</w:t>
      </w:r>
      <w:r>
        <w:rPr>
          <w:spacing w:val="10"/>
        </w:rPr>
        <w:t> </w:t>
      </w:r>
      <w:r>
        <w:rPr/>
        <w:t>ambient</w:t>
      </w:r>
      <w:r>
        <w:rPr>
          <w:spacing w:val="19"/>
        </w:rPr>
        <w:t> </w:t>
      </w:r>
      <w:r>
        <w:rPr/>
        <w:t>air</w:t>
      </w:r>
      <w:r>
        <w:rPr>
          <w:spacing w:val="14"/>
        </w:rPr>
        <w:t> </w:t>
      </w:r>
      <w:r>
        <w:rPr/>
        <w:t>quality</w:t>
      </w:r>
      <w:r>
        <w:rPr>
          <w:spacing w:val="5"/>
        </w:rPr>
        <w:t> </w:t>
      </w:r>
      <w:r>
        <w:rPr>
          <w:spacing w:val="-2"/>
        </w:rPr>
        <w:t>standards</w:t>
      </w:r>
      <w:r>
        <w:rPr/>
        <w:tab/>
      </w:r>
      <w:r>
        <w:rPr>
          <w:spacing w:val="-10"/>
        </w:rPr>
        <w:t>2</w:t>
      </w:r>
    </w:p>
    <w:p>
      <w:pPr>
        <w:pStyle w:val="BodyText"/>
        <w:tabs>
          <w:tab w:pos="8110" w:val="left" w:leader="none"/>
        </w:tabs>
        <w:spacing w:line="491" w:lineRule="auto" w:before="265"/>
        <w:ind w:left="665" w:right="1335"/>
      </w:pPr>
      <w:r>
        <w:rPr/>
        <w:t>Table 1.2: Nigerian ambient air tolerance limits, guidelines for convectional </w:t>
      </w:r>
      <w:r>
        <w:rPr>
          <w:spacing w:val="-2"/>
        </w:rPr>
        <w:t>Pollutants</w:t>
      </w:r>
      <w:r>
        <w:rPr/>
        <w:tab/>
      </w:r>
      <w:r>
        <w:rPr>
          <w:spacing w:val="-10"/>
        </w:rPr>
        <w:t>3</w:t>
      </w:r>
    </w:p>
    <w:p>
      <w:pPr>
        <w:pStyle w:val="BodyText"/>
        <w:spacing w:line="253" w:lineRule="exact"/>
        <w:ind w:left="665"/>
      </w:pPr>
      <w:r>
        <w:rPr/>
        <w:t>Table</w:t>
      </w:r>
      <w:r>
        <w:rPr>
          <w:spacing w:val="7"/>
        </w:rPr>
        <w:t> </w:t>
      </w:r>
      <w:r>
        <w:rPr/>
        <w:t>1.2:</w:t>
      </w:r>
      <w:r>
        <w:rPr>
          <w:spacing w:val="6"/>
        </w:rPr>
        <w:t> </w:t>
      </w:r>
      <w:r>
        <w:rPr/>
        <w:t>Blood</w:t>
      </w:r>
      <w:r>
        <w:rPr>
          <w:spacing w:val="20"/>
        </w:rPr>
        <w:t> </w:t>
      </w:r>
      <w:r>
        <w:rPr/>
        <w:t>Carboxyhaemoglobin</w:t>
      </w:r>
      <w:r>
        <w:rPr>
          <w:spacing w:val="9"/>
        </w:rPr>
        <w:t> </w:t>
      </w:r>
      <w:r>
        <w:rPr/>
        <w:t>levels</w:t>
      </w:r>
      <w:r>
        <w:rPr>
          <w:spacing w:val="11"/>
        </w:rPr>
        <w:t> </w:t>
      </w:r>
      <w:r>
        <w:rPr/>
        <w:t>as</w:t>
      </w:r>
      <w:r>
        <w:rPr>
          <w:spacing w:val="16"/>
        </w:rPr>
        <w:t> </w:t>
      </w:r>
      <w:r>
        <w:rPr/>
        <w:t>predicted</w:t>
      </w:r>
      <w:r>
        <w:rPr>
          <w:spacing w:val="20"/>
        </w:rPr>
        <w:t> </w:t>
      </w:r>
      <w:r>
        <w:rPr/>
        <w:t>from</w:t>
      </w:r>
      <w:r>
        <w:rPr>
          <w:spacing w:val="10"/>
        </w:rPr>
        <w:t> </w:t>
      </w:r>
      <w:r>
        <w:rPr>
          <w:spacing w:val="-5"/>
        </w:rPr>
        <w:t>the</w:t>
      </w:r>
    </w:p>
    <w:p>
      <w:pPr>
        <w:pStyle w:val="BodyText"/>
        <w:tabs>
          <w:tab w:pos="8110" w:val="left" w:leader="none"/>
        </w:tabs>
        <w:spacing w:before="266"/>
        <w:ind w:left="665"/>
      </w:pPr>
      <w:r>
        <w:rPr/>
        <w:t>Coburn-Forster-Kane</w:t>
      </w:r>
      <w:r>
        <w:rPr>
          <w:spacing w:val="23"/>
        </w:rPr>
        <w:t> </w:t>
      </w:r>
      <w:r>
        <w:rPr/>
        <w:t>(CFK)</w:t>
      </w:r>
      <w:r>
        <w:rPr>
          <w:spacing w:val="24"/>
        </w:rPr>
        <w:t> </w:t>
      </w:r>
      <w:r>
        <w:rPr>
          <w:spacing w:val="-4"/>
        </w:rPr>
        <w:t>model</w:t>
      </w:r>
      <w:r>
        <w:rPr/>
        <w:tab/>
      </w:r>
      <w:r>
        <w:rPr>
          <w:spacing w:val="-5"/>
        </w:rPr>
        <w:t>103</w:t>
      </w:r>
    </w:p>
    <w:p>
      <w:pPr>
        <w:pStyle w:val="BodyText"/>
        <w:spacing w:before="265"/>
        <w:ind w:left="665"/>
      </w:pPr>
      <w:r>
        <w:rPr/>
        <w:t>Table</w:t>
      </w:r>
      <w:r>
        <w:rPr>
          <w:spacing w:val="7"/>
        </w:rPr>
        <w:t> </w:t>
      </w:r>
      <w:r>
        <w:rPr/>
        <w:t>4.1:</w:t>
      </w:r>
      <w:r>
        <w:rPr>
          <w:spacing w:val="6"/>
        </w:rPr>
        <w:t> </w:t>
      </w:r>
      <w:r>
        <w:rPr/>
        <w:t>Transfer</w:t>
      </w:r>
      <w:r>
        <w:rPr>
          <w:spacing w:val="14"/>
        </w:rPr>
        <w:t> </w:t>
      </w:r>
      <w:r>
        <w:rPr/>
        <w:t>latencies</w:t>
      </w:r>
      <w:r>
        <w:rPr>
          <w:spacing w:val="10"/>
        </w:rPr>
        <w:t> </w:t>
      </w:r>
      <w:r>
        <w:rPr/>
        <w:t>of</w:t>
      </w:r>
      <w:r>
        <w:rPr>
          <w:spacing w:val="9"/>
        </w:rPr>
        <w:t> </w:t>
      </w:r>
      <w:r>
        <w:rPr/>
        <w:t>control</w:t>
      </w:r>
      <w:r>
        <w:rPr>
          <w:spacing w:val="11"/>
        </w:rPr>
        <w:t> </w:t>
      </w:r>
      <w:r>
        <w:rPr/>
        <w:t>and</w:t>
      </w:r>
      <w:r>
        <w:rPr>
          <w:spacing w:val="21"/>
        </w:rPr>
        <w:t> </w:t>
      </w:r>
      <w:r>
        <w:rPr/>
        <w:t>experimental</w:t>
      </w:r>
      <w:r>
        <w:rPr>
          <w:spacing w:val="11"/>
        </w:rPr>
        <w:t> </w:t>
      </w:r>
      <w:r>
        <w:rPr/>
        <w:t>groups</w:t>
      </w:r>
      <w:r>
        <w:rPr>
          <w:spacing w:val="11"/>
        </w:rPr>
        <w:t> </w:t>
      </w:r>
      <w:r>
        <w:rPr>
          <w:spacing w:val="-2"/>
        </w:rPr>
        <w:t>after</w:t>
      </w:r>
    </w:p>
    <w:p>
      <w:pPr>
        <w:pStyle w:val="BodyText"/>
        <w:tabs>
          <w:tab w:pos="8110" w:val="left" w:leader="none"/>
        </w:tabs>
        <w:spacing w:before="266"/>
        <w:ind w:left="665"/>
      </w:pPr>
      <w:r>
        <w:rPr/>
        <w:t>30</w:t>
      </w:r>
      <w:r>
        <w:rPr>
          <w:spacing w:val="7"/>
        </w:rPr>
        <w:t> </w:t>
      </w:r>
      <w:r>
        <w:rPr/>
        <w:t>minutes</w:t>
      </w:r>
      <w:r>
        <w:rPr>
          <w:spacing w:val="10"/>
        </w:rPr>
        <w:t> </w:t>
      </w:r>
      <w:r>
        <w:rPr/>
        <w:t>of</w:t>
      </w:r>
      <w:r>
        <w:rPr>
          <w:spacing w:val="8"/>
        </w:rPr>
        <w:t> </w:t>
      </w:r>
      <w:r>
        <w:rPr>
          <w:spacing w:val="-2"/>
        </w:rPr>
        <w:t>exposure</w:t>
      </w:r>
      <w:r>
        <w:rPr/>
        <w:tab/>
      </w:r>
      <w:r>
        <w:rPr>
          <w:spacing w:val="-5"/>
        </w:rPr>
        <w:t>47</w:t>
      </w:r>
    </w:p>
    <w:p>
      <w:pPr>
        <w:pStyle w:val="BodyText"/>
        <w:spacing w:before="265"/>
        <w:ind w:left="665"/>
      </w:pPr>
      <w:r>
        <w:rPr/>
        <w:t>Table</w:t>
      </w:r>
      <w:r>
        <w:rPr>
          <w:spacing w:val="7"/>
        </w:rPr>
        <w:t> </w:t>
      </w:r>
      <w:r>
        <w:rPr/>
        <w:t>4.2:</w:t>
      </w:r>
      <w:r>
        <w:rPr>
          <w:spacing w:val="6"/>
        </w:rPr>
        <w:t> </w:t>
      </w:r>
      <w:r>
        <w:rPr/>
        <w:t>Transfer</w:t>
      </w:r>
      <w:r>
        <w:rPr>
          <w:spacing w:val="15"/>
        </w:rPr>
        <w:t> </w:t>
      </w:r>
      <w:r>
        <w:rPr/>
        <w:t>latencies</w:t>
      </w:r>
      <w:r>
        <w:rPr>
          <w:spacing w:val="11"/>
        </w:rPr>
        <w:t> </w:t>
      </w:r>
      <w:r>
        <w:rPr/>
        <w:t>of</w:t>
      </w:r>
      <w:r>
        <w:rPr>
          <w:spacing w:val="8"/>
        </w:rPr>
        <w:t> </w:t>
      </w:r>
      <w:r>
        <w:rPr/>
        <w:t>the</w:t>
      </w:r>
      <w:r>
        <w:rPr>
          <w:spacing w:val="8"/>
        </w:rPr>
        <w:t> </w:t>
      </w:r>
      <w:r>
        <w:rPr/>
        <w:t>control</w:t>
      </w:r>
      <w:r>
        <w:rPr>
          <w:spacing w:val="6"/>
        </w:rPr>
        <w:t> </w:t>
      </w:r>
      <w:r>
        <w:rPr/>
        <w:t>and</w:t>
      </w:r>
      <w:r>
        <w:rPr>
          <w:spacing w:val="20"/>
        </w:rPr>
        <w:t> </w:t>
      </w:r>
      <w:r>
        <w:rPr/>
        <w:t>experimental</w:t>
      </w:r>
      <w:r>
        <w:rPr>
          <w:spacing w:val="12"/>
        </w:rPr>
        <w:t> </w:t>
      </w:r>
      <w:r>
        <w:rPr>
          <w:spacing w:val="-2"/>
        </w:rPr>
        <w:t>groups</w:t>
      </w:r>
    </w:p>
    <w:p>
      <w:pPr>
        <w:pStyle w:val="BodyText"/>
        <w:tabs>
          <w:tab w:pos="8110" w:val="left" w:leader="none"/>
        </w:tabs>
        <w:spacing w:before="270"/>
        <w:ind w:left="665"/>
      </w:pPr>
      <w:r>
        <w:rPr/>
        <w:t>after</w:t>
      </w:r>
      <w:r>
        <w:rPr>
          <w:spacing w:val="8"/>
        </w:rPr>
        <w:t> </w:t>
      </w:r>
      <w:r>
        <w:rPr/>
        <w:t>1</w:t>
      </w:r>
      <w:r>
        <w:rPr>
          <w:spacing w:val="14"/>
        </w:rPr>
        <w:t> </w:t>
      </w:r>
      <w:r>
        <w:rPr/>
        <w:t>hour</w:t>
      </w:r>
      <w:r>
        <w:rPr>
          <w:spacing w:val="3"/>
        </w:rPr>
        <w:t> </w:t>
      </w:r>
      <w:r>
        <w:rPr/>
        <w:t>of</w:t>
      </w:r>
      <w:r>
        <w:rPr>
          <w:spacing w:val="3"/>
        </w:rPr>
        <w:t> </w:t>
      </w:r>
      <w:r>
        <w:rPr>
          <w:spacing w:val="-2"/>
        </w:rPr>
        <w:t>exposure</w:t>
      </w:r>
      <w:r>
        <w:rPr/>
        <w:tab/>
      </w:r>
      <w:r>
        <w:rPr>
          <w:spacing w:val="-5"/>
        </w:rPr>
        <w:t>49</w:t>
      </w:r>
    </w:p>
    <w:p>
      <w:pPr>
        <w:pStyle w:val="BodyText"/>
        <w:spacing w:before="266"/>
        <w:ind w:left="665"/>
      </w:pPr>
      <w:r>
        <w:rPr/>
        <w:t>Table</w:t>
      </w:r>
      <w:r>
        <w:rPr>
          <w:spacing w:val="7"/>
        </w:rPr>
        <w:t> </w:t>
      </w:r>
      <w:r>
        <w:rPr/>
        <w:t>4.3:</w:t>
      </w:r>
      <w:r>
        <w:rPr>
          <w:spacing w:val="6"/>
        </w:rPr>
        <w:t> </w:t>
      </w:r>
      <w:r>
        <w:rPr/>
        <w:t>Transfer</w:t>
      </w:r>
      <w:r>
        <w:rPr>
          <w:spacing w:val="15"/>
        </w:rPr>
        <w:t> </w:t>
      </w:r>
      <w:r>
        <w:rPr/>
        <w:t>latencies</w:t>
      </w:r>
      <w:r>
        <w:rPr>
          <w:spacing w:val="11"/>
        </w:rPr>
        <w:t> </w:t>
      </w:r>
      <w:r>
        <w:rPr/>
        <w:t>of</w:t>
      </w:r>
      <w:r>
        <w:rPr>
          <w:spacing w:val="8"/>
        </w:rPr>
        <w:t> </w:t>
      </w:r>
      <w:r>
        <w:rPr/>
        <w:t>the</w:t>
      </w:r>
      <w:r>
        <w:rPr>
          <w:spacing w:val="8"/>
        </w:rPr>
        <w:t> </w:t>
      </w:r>
      <w:r>
        <w:rPr/>
        <w:t>control</w:t>
      </w:r>
      <w:r>
        <w:rPr>
          <w:spacing w:val="6"/>
        </w:rPr>
        <w:t> </w:t>
      </w:r>
      <w:r>
        <w:rPr/>
        <w:t>and</w:t>
      </w:r>
      <w:r>
        <w:rPr>
          <w:spacing w:val="20"/>
        </w:rPr>
        <w:t> </w:t>
      </w:r>
      <w:r>
        <w:rPr/>
        <w:t>experimental</w:t>
      </w:r>
      <w:r>
        <w:rPr>
          <w:spacing w:val="12"/>
        </w:rPr>
        <w:t> </w:t>
      </w:r>
      <w:r>
        <w:rPr>
          <w:spacing w:val="-2"/>
        </w:rPr>
        <w:t>groups</w:t>
      </w:r>
    </w:p>
    <w:p>
      <w:pPr>
        <w:pStyle w:val="BodyText"/>
        <w:tabs>
          <w:tab w:pos="8110" w:val="left" w:leader="none"/>
        </w:tabs>
        <w:spacing w:before="265"/>
        <w:ind w:left="665"/>
      </w:pPr>
      <w:r>
        <w:rPr/>
        <w:t>after</w:t>
      </w:r>
      <w:r>
        <w:rPr>
          <w:spacing w:val="9"/>
        </w:rPr>
        <w:t> </w:t>
      </w:r>
      <w:r>
        <w:rPr/>
        <w:t>2</w:t>
      </w:r>
      <w:r>
        <w:rPr>
          <w:spacing w:val="15"/>
        </w:rPr>
        <w:t> </w:t>
      </w:r>
      <w:r>
        <w:rPr/>
        <w:t>hours of</w:t>
      </w:r>
      <w:r>
        <w:rPr>
          <w:spacing w:val="4"/>
        </w:rPr>
        <w:t> </w:t>
      </w:r>
      <w:r>
        <w:rPr>
          <w:spacing w:val="-2"/>
        </w:rPr>
        <w:t>exposure</w:t>
      </w:r>
      <w:r>
        <w:rPr/>
        <w:tab/>
      </w:r>
      <w:r>
        <w:rPr>
          <w:spacing w:val="-5"/>
        </w:rPr>
        <w:t>51</w:t>
      </w:r>
    </w:p>
    <w:p>
      <w:pPr>
        <w:pStyle w:val="BodyText"/>
        <w:tabs>
          <w:tab w:pos="8110" w:val="left" w:leader="none"/>
        </w:tabs>
        <w:spacing w:before="266"/>
        <w:ind w:left="665"/>
      </w:pPr>
      <w:r>
        <w:rPr/>
        <w:t>Table</w:t>
      </w:r>
      <w:r>
        <w:rPr>
          <w:spacing w:val="9"/>
        </w:rPr>
        <w:t> </w:t>
      </w:r>
      <w:r>
        <w:rPr/>
        <w:t>4.4:</w:t>
      </w:r>
      <w:r>
        <w:rPr>
          <w:spacing w:val="9"/>
        </w:rPr>
        <w:t> </w:t>
      </w:r>
      <w:r>
        <w:rPr/>
        <w:t>Mean</w:t>
      </w:r>
      <w:r>
        <w:rPr>
          <w:spacing w:val="12"/>
        </w:rPr>
        <w:t> </w:t>
      </w:r>
      <w:r>
        <w:rPr/>
        <w:t>transfer</w:t>
      </w:r>
      <w:r>
        <w:rPr>
          <w:spacing w:val="17"/>
        </w:rPr>
        <w:t> </w:t>
      </w:r>
      <w:r>
        <w:rPr/>
        <w:t>latencies</w:t>
      </w:r>
      <w:r>
        <w:rPr>
          <w:spacing w:val="20"/>
        </w:rPr>
        <w:t> </w:t>
      </w:r>
      <w:r>
        <w:rPr/>
        <w:t>during</w:t>
      </w:r>
      <w:r>
        <w:rPr>
          <w:spacing w:val="12"/>
        </w:rPr>
        <w:t> </w:t>
      </w:r>
      <w:r>
        <w:rPr/>
        <w:t>the</w:t>
      </w:r>
      <w:r>
        <w:rPr>
          <w:spacing w:val="16"/>
        </w:rPr>
        <w:t> </w:t>
      </w:r>
      <w:r>
        <w:rPr/>
        <w:t>acquisition/learning</w:t>
      </w:r>
      <w:r>
        <w:rPr>
          <w:spacing w:val="12"/>
        </w:rPr>
        <w:t> </w:t>
      </w:r>
      <w:r>
        <w:rPr/>
        <w:t>task</w:t>
      </w:r>
      <w:r>
        <w:rPr>
          <w:spacing w:val="6"/>
        </w:rPr>
        <w:t> </w:t>
      </w:r>
      <w:r>
        <w:rPr/>
        <w:t>(Day-</w:t>
      </w:r>
      <w:r>
        <w:rPr>
          <w:spacing w:val="-5"/>
        </w:rPr>
        <w:t>1)</w:t>
      </w:r>
      <w:r>
        <w:rPr/>
        <w:tab/>
      </w:r>
      <w:r>
        <w:rPr>
          <w:spacing w:val="-5"/>
        </w:rPr>
        <w:t>95</w:t>
      </w:r>
    </w:p>
    <w:p>
      <w:pPr>
        <w:pStyle w:val="BodyText"/>
        <w:tabs>
          <w:tab w:pos="8110" w:val="left" w:leader="none"/>
        </w:tabs>
        <w:spacing w:before="265"/>
        <w:ind w:left="665"/>
      </w:pPr>
      <w:r>
        <w:rPr/>
        <w:t>Table</w:t>
      </w:r>
      <w:r>
        <w:rPr>
          <w:spacing w:val="10"/>
        </w:rPr>
        <w:t> </w:t>
      </w:r>
      <w:r>
        <w:rPr/>
        <w:t>4.5:</w:t>
      </w:r>
      <w:r>
        <w:rPr>
          <w:spacing w:val="9"/>
        </w:rPr>
        <w:t> </w:t>
      </w:r>
      <w:r>
        <w:rPr/>
        <w:t>Mean</w:t>
      </w:r>
      <w:r>
        <w:rPr>
          <w:spacing w:val="12"/>
        </w:rPr>
        <w:t> </w:t>
      </w:r>
      <w:r>
        <w:rPr/>
        <w:t>transfer</w:t>
      </w:r>
      <w:r>
        <w:rPr>
          <w:spacing w:val="18"/>
        </w:rPr>
        <w:t> </w:t>
      </w:r>
      <w:r>
        <w:rPr/>
        <w:t>latencies</w:t>
      </w:r>
      <w:r>
        <w:rPr>
          <w:spacing w:val="20"/>
        </w:rPr>
        <w:t> </w:t>
      </w:r>
      <w:r>
        <w:rPr/>
        <w:t>during</w:t>
      </w:r>
      <w:r>
        <w:rPr>
          <w:spacing w:val="13"/>
        </w:rPr>
        <w:t> </w:t>
      </w:r>
      <w:r>
        <w:rPr/>
        <w:t>the</w:t>
      </w:r>
      <w:r>
        <w:rPr>
          <w:spacing w:val="16"/>
        </w:rPr>
        <w:t> </w:t>
      </w:r>
      <w:r>
        <w:rPr/>
        <w:t>recall/memory task</w:t>
      </w:r>
      <w:r>
        <w:rPr>
          <w:spacing w:val="13"/>
        </w:rPr>
        <w:t> </w:t>
      </w:r>
      <w:r>
        <w:rPr/>
        <w:t>(Day-</w:t>
      </w:r>
      <w:r>
        <w:rPr>
          <w:spacing w:val="-5"/>
        </w:rPr>
        <w:t>2)</w:t>
      </w:r>
      <w:r>
        <w:rPr/>
        <w:tab/>
      </w:r>
      <w:r>
        <w:rPr>
          <w:spacing w:val="-5"/>
        </w:rPr>
        <w:t>96</w:t>
      </w:r>
    </w:p>
    <w:p>
      <w:pPr>
        <w:pStyle w:val="BodyText"/>
        <w:spacing w:before="265"/>
        <w:ind w:left="665"/>
      </w:pPr>
      <w:r>
        <w:rPr/>
        <w:t>Table</w:t>
      </w:r>
      <w:r>
        <w:rPr>
          <w:spacing w:val="7"/>
        </w:rPr>
        <w:t> </w:t>
      </w:r>
      <w:r>
        <w:rPr/>
        <w:t>4.6:</w:t>
      </w:r>
      <w:r>
        <w:rPr>
          <w:spacing w:val="6"/>
        </w:rPr>
        <w:t> </w:t>
      </w:r>
      <w:r>
        <w:rPr/>
        <w:t>Transfer</w:t>
      </w:r>
      <w:r>
        <w:rPr>
          <w:spacing w:val="14"/>
        </w:rPr>
        <w:t> </w:t>
      </w:r>
      <w:r>
        <w:rPr/>
        <w:t>latencies</w:t>
      </w:r>
      <w:r>
        <w:rPr>
          <w:spacing w:val="10"/>
        </w:rPr>
        <w:t> </w:t>
      </w:r>
      <w:r>
        <w:rPr/>
        <w:t>during</w:t>
      </w:r>
      <w:r>
        <w:rPr>
          <w:spacing w:val="10"/>
        </w:rPr>
        <w:t> </w:t>
      </w:r>
      <w:r>
        <w:rPr/>
        <w:t>acquisition</w:t>
      </w:r>
      <w:r>
        <w:rPr>
          <w:spacing w:val="9"/>
        </w:rPr>
        <w:t> </w:t>
      </w:r>
      <w:r>
        <w:rPr/>
        <w:t>and</w:t>
      </w:r>
      <w:r>
        <w:rPr>
          <w:spacing w:val="16"/>
        </w:rPr>
        <w:t> </w:t>
      </w:r>
      <w:r>
        <w:rPr/>
        <w:t>recall</w:t>
      </w:r>
      <w:r>
        <w:rPr>
          <w:spacing w:val="6"/>
        </w:rPr>
        <w:t> </w:t>
      </w:r>
      <w:r>
        <w:rPr/>
        <w:t>tasks</w:t>
      </w:r>
      <w:r>
        <w:rPr>
          <w:spacing w:val="10"/>
        </w:rPr>
        <w:t> </w:t>
      </w:r>
      <w:r>
        <w:rPr/>
        <w:t>in</w:t>
      </w:r>
      <w:r>
        <w:rPr>
          <w:spacing w:val="4"/>
        </w:rPr>
        <w:t> </w:t>
      </w:r>
      <w:r>
        <w:rPr/>
        <w:t>the</w:t>
      </w:r>
      <w:r>
        <w:rPr>
          <w:spacing w:val="13"/>
        </w:rPr>
        <w:t> </w:t>
      </w:r>
      <w:r>
        <w:rPr>
          <w:spacing w:val="-2"/>
        </w:rPr>
        <w:t>control</w:t>
      </w:r>
    </w:p>
    <w:p>
      <w:pPr>
        <w:pStyle w:val="BodyText"/>
        <w:tabs>
          <w:tab w:pos="8110" w:val="left" w:leader="none"/>
        </w:tabs>
        <w:spacing w:before="266"/>
        <w:ind w:left="665"/>
      </w:pPr>
      <w:r>
        <w:rPr>
          <w:spacing w:val="-2"/>
        </w:rPr>
        <w:t>group</w:t>
      </w:r>
      <w:r>
        <w:rPr/>
        <w:tab/>
      </w:r>
      <w:r>
        <w:rPr>
          <w:spacing w:val="-5"/>
        </w:rPr>
        <w:t>97</w:t>
      </w:r>
    </w:p>
    <w:p>
      <w:pPr>
        <w:pStyle w:val="BodyText"/>
        <w:spacing w:before="265"/>
        <w:ind w:left="665"/>
      </w:pPr>
      <w:r>
        <w:rPr/>
        <w:t>Table</w:t>
      </w:r>
      <w:r>
        <w:rPr>
          <w:spacing w:val="7"/>
        </w:rPr>
        <w:t> </w:t>
      </w:r>
      <w:r>
        <w:rPr/>
        <w:t>4.7:</w:t>
      </w:r>
      <w:r>
        <w:rPr>
          <w:spacing w:val="6"/>
        </w:rPr>
        <w:t> </w:t>
      </w:r>
      <w:r>
        <w:rPr/>
        <w:t>Transfer</w:t>
      </w:r>
      <w:r>
        <w:rPr>
          <w:spacing w:val="15"/>
        </w:rPr>
        <w:t> </w:t>
      </w:r>
      <w:r>
        <w:rPr/>
        <w:t>latencies</w:t>
      </w:r>
      <w:r>
        <w:rPr>
          <w:spacing w:val="11"/>
        </w:rPr>
        <w:t> </w:t>
      </w:r>
      <w:r>
        <w:rPr/>
        <w:t>during</w:t>
      </w:r>
      <w:r>
        <w:rPr>
          <w:spacing w:val="9"/>
        </w:rPr>
        <w:t> </w:t>
      </w:r>
      <w:r>
        <w:rPr/>
        <w:t>acquisition</w:t>
      </w:r>
      <w:r>
        <w:rPr>
          <w:spacing w:val="10"/>
        </w:rPr>
        <w:t> </w:t>
      </w:r>
      <w:r>
        <w:rPr/>
        <w:t>and</w:t>
      </w:r>
      <w:r>
        <w:rPr>
          <w:spacing w:val="16"/>
        </w:rPr>
        <w:t> </w:t>
      </w:r>
      <w:r>
        <w:rPr/>
        <w:t>recall</w:t>
      </w:r>
      <w:r>
        <w:rPr>
          <w:spacing w:val="6"/>
        </w:rPr>
        <w:t> </w:t>
      </w:r>
      <w:r>
        <w:rPr/>
        <w:t>tasks</w:t>
      </w:r>
      <w:r>
        <w:rPr>
          <w:spacing w:val="11"/>
        </w:rPr>
        <w:t> </w:t>
      </w:r>
      <w:r>
        <w:rPr/>
        <w:t>in</w:t>
      </w:r>
      <w:r>
        <w:rPr>
          <w:spacing w:val="4"/>
        </w:rPr>
        <w:t> </w:t>
      </w:r>
      <w:r>
        <w:rPr>
          <w:spacing w:val="-5"/>
        </w:rPr>
        <w:t>the</w:t>
      </w:r>
    </w:p>
    <w:p>
      <w:pPr>
        <w:pStyle w:val="BodyText"/>
        <w:tabs>
          <w:tab w:pos="8110" w:val="left" w:leader="none"/>
        </w:tabs>
        <w:spacing w:before="266"/>
        <w:ind w:left="665"/>
      </w:pPr>
      <w:r>
        <w:rPr/>
        <w:t>experimental</w:t>
      </w:r>
      <w:r>
        <w:rPr>
          <w:spacing w:val="19"/>
        </w:rPr>
        <w:t> </w:t>
      </w:r>
      <w:r>
        <w:rPr>
          <w:spacing w:val="-4"/>
        </w:rPr>
        <w:t>group</w:t>
      </w:r>
      <w:r>
        <w:rPr/>
        <w:tab/>
      </w:r>
      <w:r>
        <w:rPr>
          <w:spacing w:val="-5"/>
        </w:rPr>
        <w:t>98</w:t>
      </w:r>
    </w:p>
    <w:p>
      <w:pPr>
        <w:pStyle w:val="BodyText"/>
        <w:tabs>
          <w:tab w:pos="8110" w:val="left" w:leader="none"/>
        </w:tabs>
        <w:spacing w:before="265"/>
        <w:ind w:left="665"/>
      </w:pPr>
      <w:r>
        <w:rPr/>
        <w:t>Table</w:t>
      </w:r>
      <w:r>
        <w:rPr>
          <w:spacing w:val="5"/>
        </w:rPr>
        <w:t> </w:t>
      </w:r>
      <w:r>
        <w:rPr/>
        <w:t>4.8:</w:t>
      </w:r>
      <w:r>
        <w:rPr>
          <w:spacing w:val="5"/>
        </w:rPr>
        <w:t> </w:t>
      </w:r>
      <w:r>
        <w:rPr/>
        <w:t>Mean</w:t>
      </w:r>
      <w:r>
        <w:rPr>
          <w:spacing w:val="8"/>
        </w:rPr>
        <w:t> </w:t>
      </w:r>
      <w:r>
        <w:rPr/>
        <w:t>transfer</w:t>
      </w:r>
      <w:r>
        <w:rPr>
          <w:spacing w:val="12"/>
        </w:rPr>
        <w:t> </w:t>
      </w:r>
      <w:r>
        <w:rPr/>
        <w:t>latencies</w:t>
      </w:r>
      <w:r>
        <w:rPr>
          <w:spacing w:val="15"/>
        </w:rPr>
        <w:t> </w:t>
      </w:r>
      <w:r>
        <w:rPr/>
        <w:t>to</w:t>
      </w:r>
      <w:r>
        <w:rPr>
          <w:spacing w:val="8"/>
        </w:rPr>
        <w:t> </w:t>
      </w:r>
      <w:r>
        <w:rPr/>
        <w:t>cross</w:t>
      </w:r>
      <w:r>
        <w:rPr>
          <w:spacing w:val="14"/>
        </w:rPr>
        <w:t> </w:t>
      </w:r>
      <w:r>
        <w:rPr/>
        <w:t>the</w:t>
      </w:r>
      <w:r>
        <w:rPr>
          <w:spacing w:val="11"/>
        </w:rPr>
        <w:t> </w:t>
      </w:r>
      <w:r>
        <w:rPr/>
        <w:t>beam</w:t>
      </w:r>
      <w:r>
        <w:rPr>
          <w:spacing w:val="12"/>
        </w:rPr>
        <w:t> </w:t>
      </w:r>
      <w:r>
        <w:rPr>
          <w:spacing w:val="-4"/>
        </w:rPr>
        <w:t>walk</w:t>
      </w:r>
      <w:r>
        <w:rPr/>
        <w:tab/>
      </w:r>
      <w:r>
        <w:rPr>
          <w:spacing w:val="-5"/>
        </w:rPr>
        <w:t>99</w:t>
      </w:r>
    </w:p>
    <w:p>
      <w:pPr>
        <w:pStyle w:val="BodyText"/>
        <w:spacing w:before="270"/>
        <w:ind w:left="665"/>
      </w:pPr>
      <w:r>
        <w:rPr/>
        <w:t>Table</w:t>
      </w:r>
      <w:r>
        <w:rPr>
          <w:spacing w:val="4"/>
        </w:rPr>
        <w:t> </w:t>
      </w:r>
      <w:r>
        <w:rPr/>
        <w:t>4.9:</w:t>
      </w:r>
      <w:r>
        <w:rPr>
          <w:spacing w:val="4"/>
        </w:rPr>
        <w:t> </w:t>
      </w:r>
      <w:r>
        <w:rPr/>
        <w:t>Foot-slips</w:t>
      </w:r>
      <w:r>
        <w:rPr>
          <w:spacing w:val="13"/>
        </w:rPr>
        <w:t> </w:t>
      </w:r>
      <w:r>
        <w:rPr/>
        <w:t>of</w:t>
      </w:r>
      <w:r>
        <w:rPr>
          <w:spacing w:val="6"/>
        </w:rPr>
        <w:t> </w:t>
      </w:r>
      <w:r>
        <w:rPr/>
        <w:t>the</w:t>
      </w:r>
      <w:r>
        <w:rPr>
          <w:spacing w:val="11"/>
        </w:rPr>
        <w:t> </w:t>
      </w:r>
      <w:r>
        <w:rPr/>
        <w:t>control</w:t>
      </w:r>
      <w:r>
        <w:rPr>
          <w:spacing w:val="9"/>
        </w:rPr>
        <w:t> </w:t>
      </w:r>
      <w:r>
        <w:rPr/>
        <w:t>and</w:t>
      </w:r>
      <w:r>
        <w:rPr>
          <w:spacing w:val="17"/>
        </w:rPr>
        <w:t> </w:t>
      </w:r>
      <w:r>
        <w:rPr/>
        <w:t>experimental</w:t>
      </w:r>
      <w:r>
        <w:rPr>
          <w:spacing w:val="9"/>
        </w:rPr>
        <w:t> </w:t>
      </w:r>
      <w:r>
        <w:rPr/>
        <w:t>groups</w:t>
      </w:r>
      <w:r>
        <w:rPr>
          <w:spacing w:val="8"/>
        </w:rPr>
        <w:t> </w:t>
      </w:r>
      <w:r>
        <w:rPr/>
        <w:t>after</w:t>
      </w:r>
      <w:r>
        <w:rPr>
          <w:spacing w:val="12"/>
        </w:rPr>
        <w:t> </w:t>
      </w:r>
      <w:r>
        <w:rPr/>
        <w:t>the</w:t>
      </w:r>
      <w:r>
        <w:rPr>
          <w:spacing w:val="10"/>
        </w:rPr>
        <w:t> </w:t>
      </w:r>
      <w:r>
        <w:rPr/>
        <w:t>30</w:t>
      </w:r>
      <w:r>
        <w:rPr>
          <w:spacing w:val="11"/>
        </w:rPr>
        <w:t> </w:t>
      </w:r>
      <w:r>
        <w:rPr>
          <w:spacing w:val="-2"/>
        </w:rPr>
        <w:t>minutes,</w:t>
      </w:r>
    </w:p>
    <w:p>
      <w:pPr>
        <w:pStyle w:val="BodyText"/>
        <w:tabs>
          <w:tab w:pos="8110" w:val="left" w:leader="none"/>
        </w:tabs>
        <w:spacing w:before="266"/>
        <w:ind w:left="665"/>
      </w:pPr>
      <w:r>
        <w:rPr/>
        <w:t>1</w:t>
      </w:r>
      <w:r>
        <w:rPr>
          <w:spacing w:val="8"/>
        </w:rPr>
        <w:t> </w:t>
      </w:r>
      <w:r>
        <w:rPr/>
        <w:t>hour,</w:t>
      </w:r>
      <w:r>
        <w:rPr>
          <w:spacing w:val="8"/>
        </w:rPr>
        <w:t> </w:t>
      </w:r>
      <w:r>
        <w:rPr/>
        <w:t>and</w:t>
      </w:r>
      <w:r>
        <w:rPr>
          <w:spacing w:val="14"/>
        </w:rPr>
        <w:t> </w:t>
      </w:r>
      <w:r>
        <w:rPr/>
        <w:t>two</w:t>
      </w:r>
      <w:r>
        <w:rPr>
          <w:spacing w:val="10"/>
        </w:rPr>
        <w:t> </w:t>
      </w:r>
      <w:r>
        <w:rPr/>
        <w:t>hours of</w:t>
      </w:r>
      <w:r>
        <w:rPr>
          <w:spacing w:val="3"/>
        </w:rPr>
        <w:t> </w:t>
      </w:r>
      <w:r>
        <w:rPr>
          <w:spacing w:val="-2"/>
        </w:rPr>
        <w:t>exposure</w:t>
      </w:r>
      <w:r>
        <w:rPr/>
        <w:tab/>
      </w:r>
      <w:r>
        <w:rPr>
          <w:spacing w:val="-5"/>
        </w:rPr>
        <w:t>100</w:t>
      </w:r>
    </w:p>
    <w:p>
      <w:pPr>
        <w:pStyle w:val="BodyText"/>
        <w:spacing w:before="265"/>
        <w:ind w:left="665"/>
      </w:pPr>
      <w:r>
        <w:rPr/>
        <w:t>Table</w:t>
      </w:r>
      <w:r>
        <w:rPr>
          <w:spacing w:val="8"/>
        </w:rPr>
        <w:t> </w:t>
      </w:r>
      <w:r>
        <w:rPr/>
        <w:t>4.10:</w:t>
      </w:r>
      <w:r>
        <w:rPr>
          <w:spacing w:val="13"/>
        </w:rPr>
        <w:t> </w:t>
      </w:r>
      <w:r>
        <w:rPr/>
        <w:t>Percentage</w:t>
      </w:r>
      <w:r>
        <w:rPr>
          <w:spacing w:val="15"/>
        </w:rPr>
        <w:t> </w:t>
      </w:r>
      <w:r>
        <w:rPr/>
        <w:t>Carboxyhaemoglobin</w:t>
      </w:r>
      <w:r>
        <w:rPr>
          <w:spacing w:val="16"/>
        </w:rPr>
        <w:t> </w:t>
      </w:r>
      <w:r>
        <w:rPr/>
        <w:t>in</w:t>
      </w:r>
      <w:r>
        <w:rPr>
          <w:spacing w:val="11"/>
        </w:rPr>
        <w:t> </w:t>
      </w:r>
      <w:r>
        <w:rPr/>
        <w:t>the</w:t>
      </w:r>
      <w:r>
        <w:rPr>
          <w:spacing w:val="15"/>
        </w:rPr>
        <w:t> </w:t>
      </w:r>
      <w:r>
        <w:rPr/>
        <w:t>control</w:t>
      </w:r>
      <w:r>
        <w:rPr>
          <w:spacing w:val="7"/>
        </w:rPr>
        <w:t> </w:t>
      </w:r>
      <w:r>
        <w:rPr/>
        <w:t>and</w:t>
      </w:r>
      <w:r>
        <w:rPr>
          <w:spacing w:val="15"/>
        </w:rPr>
        <w:t> </w:t>
      </w:r>
      <w:r>
        <w:rPr>
          <w:spacing w:val="-2"/>
        </w:rPr>
        <w:t>experimental</w:t>
      </w:r>
    </w:p>
    <w:p>
      <w:pPr>
        <w:pStyle w:val="BodyText"/>
        <w:tabs>
          <w:tab w:pos="8110" w:val="left" w:leader="none"/>
        </w:tabs>
        <w:spacing w:before="266"/>
        <w:ind w:left="665"/>
      </w:pPr>
      <w:r>
        <w:rPr>
          <w:spacing w:val="-2"/>
        </w:rPr>
        <w:t>groups</w:t>
      </w:r>
      <w:r>
        <w:rPr/>
        <w:tab/>
      </w:r>
      <w:r>
        <w:rPr>
          <w:spacing w:val="-5"/>
        </w:rPr>
        <w:t>101</w:t>
      </w:r>
    </w:p>
    <w:p>
      <w:pPr>
        <w:spacing w:after="0"/>
        <w:sectPr>
          <w:pgSz w:w="12240" w:h="15840"/>
          <w:pgMar w:header="0" w:footer="916" w:top="1260" w:bottom="1100" w:left="1720" w:right="960"/>
        </w:sectPr>
      </w:pPr>
    </w:p>
    <w:p>
      <w:pPr>
        <w:pStyle w:val="Heading2"/>
        <w:ind w:left="457" w:right="701"/>
        <w:jc w:val="center"/>
      </w:pPr>
      <w:bookmarkStart w:name="_TOC_250049" w:id="8"/>
      <w:r>
        <w:rPr/>
        <w:t>LIST</w:t>
      </w:r>
      <w:r>
        <w:rPr>
          <w:spacing w:val="7"/>
        </w:rPr>
        <w:t> </w:t>
      </w:r>
      <w:r>
        <w:rPr/>
        <w:t>OF</w:t>
      </w:r>
      <w:r>
        <w:rPr>
          <w:spacing w:val="6"/>
        </w:rPr>
        <w:t> </w:t>
      </w:r>
      <w:bookmarkEnd w:id="8"/>
      <w:r>
        <w:rPr>
          <w:spacing w:val="-2"/>
        </w:rPr>
        <w:t>APPENDICES</w:t>
      </w:r>
    </w:p>
    <w:p>
      <w:pPr>
        <w:pStyle w:val="BodyText"/>
        <w:rPr>
          <w:b/>
        </w:rPr>
      </w:pPr>
    </w:p>
    <w:p>
      <w:pPr>
        <w:pStyle w:val="BodyText"/>
        <w:rPr>
          <w:b/>
        </w:rPr>
      </w:pPr>
    </w:p>
    <w:p>
      <w:pPr>
        <w:pStyle w:val="BodyText"/>
        <w:spacing w:before="20"/>
        <w:rPr>
          <w:b/>
        </w:rPr>
      </w:pPr>
    </w:p>
    <w:p>
      <w:pPr>
        <w:pStyle w:val="BodyText"/>
        <w:tabs>
          <w:tab w:pos="8110" w:val="left" w:leader="none"/>
        </w:tabs>
        <w:ind w:left="665"/>
      </w:pPr>
      <w:r>
        <w:rPr/>
        <w:t>APPENDIX</w:t>
      </w:r>
      <w:r>
        <w:rPr>
          <w:spacing w:val="17"/>
        </w:rPr>
        <w:t> </w:t>
      </w:r>
      <w:r>
        <w:rPr/>
        <w:t>I:</w:t>
      </w:r>
      <w:r>
        <w:rPr>
          <w:spacing w:val="11"/>
        </w:rPr>
        <w:t> </w:t>
      </w:r>
      <w:r>
        <w:rPr/>
        <w:t>Transfer</w:t>
      </w:r>
      <w:r>
        <w:rPr>
          <w:spacing w:val="19"/>
        </w:rPr>
        <w:t> </w:t>
      </w:r>
      <w:r>
        <w:rPr/>
        <w:t>latencies</w:t>
      </w:r>
      <w:r>
        <w:rPr>
          <w:spacing w:val="16"/>
        </w:rPr>
        <w:t> </w:t>
      </w:r>
      <w:r>
        <w:rPr/>
        <w:t>during</w:t>
      </w:r>
      <w:r>
        <w:rPr>
          <w:spacing w:val="7"/>
        </w:rPr>
        <w:t> </w:t>
      </w:r>
      <w:r>
        <w:rPr/>
        <w:t>the</w:t>
      </w:r>
      <w:r>
        <w:rPr>
          <w:spacing w:val="18"/>
        </w:rPr>
        <w:t> </w:t>
      </w:r>
      <w:r>
        <w:rPr/>
        <w:t>acquisition/learning</w:t>
      </w:r>
      <w:r>
        <w:rPr>
          <w:spacing w:val="8"/>
        </w:rPr>
        <w:t> </w:t>
      </w:r>
      <w:r>
        <w:rPr/>
        <w:t>task</w:t>
      </w:r>
      <w:r>
        <w:rPr>
          <w:spacing w:val="14"/>
        </w:rPr>
        <w:t> </w:t>
      </w:r>
      <w:r>
        <w:rPr/>
        <w:t>(Day-</w:t>
      </w:r>
      <w:r>
        <w:rPr>
          <w:spacing w:val="-5"/>
        </w:rPr>
        <w:t>1)</w:t>
      </w:r>
      <w:r>
        <w:rPr/>
        <w:tab/>
      </w:r>
      <w:r>
        <w:rPr>
          <w:spacing w:val="-5"/>
        </w:rPr>
        <w:t>95</w:t>
      </w:r>
    </w:p>
    <w:p>
      <w:pPr>
        <w:pStyle w:val="BodyText"/>
        <w:spacing w:before="12"/>
      </w:pPr>
    </w:p>
    <w:p>
      <w:pPr>
        <w:pStyle w:val="BodyText"/>
        <w:tabs>
          <w:tab w:pos="8110" w:val="left" w:leader="none"/>
        </w:tabs>
        <w:ind w:left="665"/>
      </w:pPr>
      <w:r>
        <w:rPr/>
        <w:t>APPENDIX</w:t>
      </w:r>
      <w:r>
        <w:rPr>
          <w:spacing w:val="18"/>
        </w:rPr>
        <w:t> </w:t>
      </w:r>
      <w:r>
        <w:rPr/>
        <w:t>II:</w:t>
      </w:r>
      <w:r>
        <w:rPr>
          <w:spacing w:val="10"/>
        </w:rPr>
        <w:t> </w:t>
      </w:r>
      <w:r>
        <w:rPr/>
        <w:t>Transfer</w:t>
      </w:r>
      <w:r>
        <w:rPr>
          <w:spacing w:val="20"/>
        </w:rPr>
        <w:t> </w:t>
      </w:r>
      <w:r>
        <w:rPr/>
        <w:t>latencies</w:t>
      </w:r>
      <w:r>
        <w:rPr>
          <w:spacing w:val="16"/>
        </w:rPr>
        <w:t> </w:t>
      </w:r>
      <w:r>
        <w:rPr/>
        <w:t>during</w:t>
      </w:r>
      <w:r>
        <w:rPr>
          <w:spacing w:val="8"/>
        </w:rPr>
        <w:t> </w:t>
      </w:r>
      <w:r>
        <w:rPr/>
        <w:t>the</w:t>
      </w:r>
      <w:r>
        <w:rPr>
          <w:spacing w:val="18"/>
        </w:rPr>
        <w:t> </w:t>
      </w:r>
      <w:r>
        <w:rPr/>
        <w:t>recall/memory</w:t>
      </w:r>
      <w:r>
        <w:rPr>
          <w:spacing w:val="2"/>
        </w:rPr>
        <w:t> </w:t>
      </w:r>
      <w:r>
        <w:rPr/>
        <w:t>task</w:t>
      </w:r>
      <w:r>
        <w:rPr>
          <w:spacing w:val="15"/>
        </w:rPr>
        <w:t> </w:t>
      </w:r>
      <w:r>
        <w:rPr/>
        <w:t>(Day-</w:t>
      </w:r>
      <w:r>
        <w:rPr>
          <w:spacing w:val="-5"/>
        </w:rPr>
        <w:t>2)</w:t>
      </w:r>
      <w:r>
        <w:rPr/>
        <w:tab/>
      </w:r>
      <w:r>
        <w:rPr>
          <w:spacing w:val="-5"/>
        </w:rPr>
        <w:t>96</w:t>
      </w:r>
    </w:p>
    <w:p>
      <w:pPr>
        <w:pStyle w:val="BodyText"/>
        <w:spacing w:before="13"/>
      </w:pPr>
    </w:p>
    <w:p>
      <w:pPr>
        <w:pStyle w:val="BodyText"/>
        <w:ind w:left="665"/>
      </w:pPr>
      <w:r>
        <w:rPr/>
        <w:t>APPENDIX</w:t>
      </w:r>
      <w:r>
        <w:rPr>
          <w:spacing w:val="14"/>
        </w:rPr>
        <w:t> </w:t>
      </w:r>
      <w:r>
        <w:rPr/>
        <w:t>III:</w:t>
      </w:r>
      <w:r>
        <w:rPr>
          <w:spacing w:val="8"/>
        </w:rPr>
        <w:t> </w:t>
      </w:r>
      <w:r>
        <w:rPr/>
        <w:t>Transfer</w:t>
      </w:r>
      <w:r>
        <w:rPr>
          <w:spacing w:val="16"/>
        </w:rPr>
        <w:t> </w:t>
      </w:r>
      <w:r>
        <w:rPr/>
        <w:t>latencies</w:t>
      </w:r>
      <w:r>
        <w:rPr>
          <w:spacing w:val="12"/>
        </w:rPr>
        <w:t> </w:t>
      </w:r>
      <w:r>
        <w:rPr/>
        <w:t>during</w:t>
      </w:r>
      <w:r>
        <w:rPr>
          <w:spacing w:val="5"/>
        </w:rPr>
        <w:t> </w:t>
      </w:r>
      <w:r>
        <w:rPr/>
        <w:t>acquisition</w:t>
      </w:r>
      <w:r>
        <w:rPr>
          <w:spacing w:val="5"/>
        </w:rPr>
        <w:t> </w:t>
      </w:r>
      <w:r>
        <w:rPr/>
        <w:t>and</w:t>
      </w:r>
      <w:r>
        <w:rPr>
          <w:spacing w:val="15"/>
        </w:rPr>
        <w:t> </w:t>
      </w:r>
      <w:r>
        <w:rPr/>
        <w:t>recall</w:t>
      </w:r>
      <w:r>
        <w:rPr>
          <w:spacing w:val="13"/>
        </w:rPr>
        <w:t> </w:t>
      </w:r>
      <w:r>
        <w:rPr/>
        <w:t>tasks</w:t>
      </w:r>
      <w:r>
        <w:rPr>
          <w:spacing w:val="12"/>
        </w:rPr>
        <w:t> </w:t>
      </w:r>
      <w:r>
        <w:rPr/>
        <w:t>in</w:t>
      </w:r>
      <w:r>
        <w:rPr>
          <w:spacing w:val="11"/>
        </w:rPr>
        <w:t> </w:t>
      </w:r>
      <w:r>
        <w:rPr>
          <w:spacing w:val="-5"/>
        </w:rPr>
        <w:t>the</w:t>
      </w:r>
    </w:p>
    <w:p>
      <w:pPr>
        <w:pStyle w:val="BodyText"/>
        <w:spacing w:before="12"/>
      </w:pPr>
    </w:p>
    <w:p>
      <w:pPr>
        <w:pStyle w:val="BodyText"/>
        <w:tabs>
          <w:tab w:pos="8110" w:val="left" w:leader="none"/>
        </w:tabs>
        <w:ind w:left="665"/>
      </w:pPr>
      <w:r>
        <w:rPr/>
        <w:t>control</w:t>
      </w:r>
      <w:r>
        <w:rPr>
          <w:spacing w:val="16"/>
        </w:rPr>
        <w:t> </w:t>
      </w:r>
      <w:r>
        <w:rPr>
          <w:spacing w:val="-2"/>
        </w:rPr>
        <w:t>group</w:t>
      </w:r>
      <w:r>
        <w:rPr/>
        <w:tab/>
      </w:r>
      <w:r>
        <w:rPr>
          <w:spacing w:val="-5"/>
        </w:rPr>
        <w:t>97</w:t>
      </w:r>
    </w:p>
    <w:p>
      <w:pPr>
        <w:pStyle w:val="BodyText"/>
        <w:spacing w:before="13"/>
      </w:pPr>
    </w:p>
    <w:p>
      <w:pPr>
        <w:pStyle w:val="BodyText"/>
        <w:tabs>
          <w:tab w:pos="8110" w:val="left" w:leader="none"/>
        </w:tabs>
        <w:spacing w:line="491" w:lineRule="auto"/>
        <w:ind w:left="665" w:right="1219"/>
      </w:pPr>
      <w:r>
        <w:rPr/>
        <w:t>APPENDIX IV: Transfer latencies during acquisition and recall tasks in the experimental</w:t>
      </w:r>
      <w:r>
        <w:rPr>
          <w:spacing w:val="19"/>
        </w:rPr>
        <w:t> </w:t>
      </w:r>
      <w:r>
        <w:rPr>
          <w:spacing w:val="-4"/>
        </w:rPr>
        <w:t>group</w:t>
      </w:r>
      <w:r>
        <w:rPr/>
        <w:tab/>
      </w:r>
      <w:r>
        <w:rPr>
          <w:spacing w:val="-5"/>
        </w:rPr>
        <w:t>98</w:t>
      </w:r>
    </w:p>
    <w:p>
      <w:pPr>
        <w:pStyle w:val="BodyText"/>
        <w:tabs>
          <w:tab w:pos="8110" w:val="left" w:leader="none"/>
        </w:tabs>
        <w:spacing w:line="253" w:lineRule="exact"/>
        <w:ind w:left="665"/>
      </w:pPr>
      <w:r>
        <w:rPr/>
        <w:t>APPENDIX</w:t>
      </w:r>
      <w:r>
        <w:rPr>
          <w:spacing w:val="10"/>
        </w:rPr>
        <w:t> </w:t>
      </w:r>
      <w:r>
        <w:rPr/>
        <w:t>V:</w:t>
      </w:r>
      <w:r>
        <w:rPr>
          <w:spacing w:val="10"/>
        </w:rPr>
        <w:t> </w:t>
      </w:r>
      <w:r>
        <w:rPr/>
        <w:t>Transfer</w:t>
      </w:r>
      <w:r>
        <w:rPr>
          <w:spacing w:val="12"/>
        </w:rPr>
        <w:t> </w:t>
      </w:r>
      <w:r>
        <w:rPr/>
        <w:t>latencies</w:t>
      </w:r>
      <w:r>
        <w:rPr>
          <w:spacing w:val="8"/>
        </w:rPr>
        <w:t> </w:t>
      </w:r>
      <w:r>
        <w:rPr/>
        <w:t>to</w:t>
      </w:r>
      <w:r>
        <w:rPr>
          <w:spacing w:val="18"/>
        </w:rPr>
        <w:t> </w:t>
      </w:r>
      <w:r>
        <w:rPr/>
        <w:t>cross</w:t>
      </w:r>
      <w:r>
        <w:rPr>
          <w:spacing w:val="9"/>
        </w:rPr>
        <w:t> </w:t>
      </w:r>
      <w:r>
        <w:rPr/>
        <w:t>the</w:t>
      </w:r>
      <w:r>
        <w:rPr>
          <w:spacing w:val="10"/>
        </w:rPr>
        <w:t> </w:t>
      </w:r>
      <w:r>
        <w:rPr/>
        <w:t>beam</w:t>
      </w:r>
      <w:r>
        <w:rPr>
          <w:spacing w:val="12"/>
        </w:rPr>
        <w:t> </w:t>
      </w:r>
      <w:r>
        <w:rPr>
          <w:spacing w:val="-4"/>
        </w:rPr>
        <w:t>walk</w:t>
      </w:r>
      <w:r>
        <w:rPr/>
        <w:tab/>
      </w:r>
      <w:r>
        <w:rPr>
          <w:spacing w:val="-5"/>
        </w:rPr>
        <w:t>99</w:t>
      </w:r>
    </w:p>
    <w:p>
      <w:pPr>
        <w:pStyle w:val="BodyText"/>
        <w:spacing w:before="12"/>
      </w:pPr>
    </w:p>
    <w:p>
      <w:pPr>
        <w:pStyle w:val="BodyText"/>
        <w:tabs>
          <w:tab w:pos="8110" w:val="left" w:leader="none"/>
        </w:tabs>
        <w:ind w:left="665"/>
      </w:pPr>
      <w:r>
        <w:rPr/>
        <w:t>APPENDIX</w:t>
      </w:r>
      <w:r>
        <w:rPr>
          <w:spacing w:val="14"/>
        </w:rPr>
        <w:t> </w:t>
      </w:r>
      <w:r>
        <w:rPr/>
        <w:t>VI:</w:t>
      </w:r>
      <w:r>
        <w:rPr>
          <w:spacing w:val="13"/>
        </w:rPr>
        <w:t> </w:t>
      </w:r>
      <w:r>
        <w:rPr/>
        <w:t>Mean</w:t>
      </w:r>
      <w:r>
        <w:rPr>
          <w:spacing w:val="4"/>
        </w:rPr>
        <w:t> </w:t>
      </w:r>
      <w:r>
        <w:rPr/>
        <w:t>foot-slips</w:t>
      </w:r>
      <w:r>
        <w:rPr>
          <w:spacing w:val="12"/>
        </w:rPr>
        <w:t> </w:t>
      </w:r>
      <w:r>
        <w:rPr/>
        <w:t>during</w:t>
      </w:r>
      <w:r>
        <w:rPr>
          <w:spacing w:val="10"/>
        </w:rPr>
        <w:t> </w:t>
      </w:r>
      <w:r>
        <w:rPr/>
        <w:t>beam</w:t>
      </w:r>
      <w:r>
        <w:rPr>
          <w:spacing w:val="16"/>
        </w:rPr>
        <w:t> </w:t>
      </w:r>
      <w:r>
        <w:rPr/>
        <w:t>walk</w:t>
      </w:r>
      <w:r>
        <w:rPr>
          <w:spacing w:val="10"/>
        </w:rPr>
        <w:t> </w:t>
      </w:r>
      <w:r>
        <w:rPr>
          <w:spacing w:val="-4"/>
        </w:rPr>
        <w:t>test</w:t>
      </w:r>
      <w:r>
        <w:rPr/>
        <w:tab/>
      </w:r>
      <w:r>
        <w:rPr>
          <w:spacing w:val="-5"/>
        </w:rPr>
        <w:t>100</w:t>
      </w:r>
    </w:p>
    <w:p>
      <w:pPr>
        <w:pStyle w:val="BodyText"/>
        <w:spacing w:before="17"/>
      </w:pPr>
    </w:p>
    <w:p>
      <w:pPr>
        <w:pStyle w:val="BodyText"/>
        <w:ind w:left="665"/>
      </w:pPr>
      <w:r>
        <w:rPr/>
        <w:t>APPENDIX</w:t>
      </w:r>
      <w:r>
        <w:rPr>
          <w:spacing w:val="15"/>
        </w:rPr>
        <w:t> </w:t>
      </w:r>
      <w:r>
        <w:rPr/>
        <w:t>VII:</w:t>
      </w:r>
      <w:r>
        <w:rPr>
          <w:spacing w:val="15"/>
        </w:rPr>
        <w:t> </w:t>
      </w:r>
      <w:r>
        <w:rPr/>
        <w:t>Percentage</w:t>
      </w:r>
      <w:r>
        <w:rPr>
          <w:spacing w:val="16"/>
        </w:rPr>
        <w:t> </w:t>
      </w:r>
      <w:r>
        <w:rPr/>
        <w:t>carboxyhaemoglobin</w:t>
      </w:r>
      <w:r>
        <w:rPr>
          <w:spacing w:val="18"/>
        </w:rPr>
        <w:t> </w:t>
      </w:r>
      <w:r>
        <w:rPr/>
        <w:t>of</w:t>
      </w:r>
      <w:r>
        <w:rPr>
          <w:spacing w:val="17"/>
        </w:rPr>
        <w:t> </w:t>
      </w:r>
      <w:r>
        <w:rPr/>
        <w:t>the</w:t>
      </w:r>
      <w:r>
        <w:rPr>
          <w:spacing w:val="16"/>
        </w:rPr>
        <w:t> </w:t>
      </w:r>
      <w:r>
        <w:rPr/>
        <w:t>control</w:t>
      </w:r>
      <w:r>
        <w:rPr>
          <w:spacing w:val="9"/>
        </w:rPr>
        <w:t> </w:t>
      </w:r>
      <w:r>
        <w:rPr>
          <w:spacing w:val="-5"/>
        </w:rPr>
        <w:t>and</w:t>
      </w:r>
    </w:p>
    <w:p>
      <w:pPr>
        <w:pStyle w:val="BodyText"/>
        <w:spacing w:before="13"/>
      </w:pPr>
    </w:p>
    <w:p>
      <w:pPr>
        <w:pStyle w:val="BodyText"/>
        <w:tabs>
          <w:tab w:pos="8110" w:val="left" w:leader="none"/>
        </w:tabs>
        <w:ind w:left="665"/>
      </w:pPr>
      <w:r>
        <w:rPr/>
        <w:t>experimental</w:t>
      </w:r>
      <w:r>
        <w:rPr>
          <w:spacing w:val="19"/>
        </w:rPr>
        <w:t> </w:t>
      </w:r>
      <w:r>
        <w:rPr>
          <w:spacing w:val="-2"/>
        </w:rPr>
        <w:t>groups</w:t>
      </w:r>
      <w:r>
        <w:rPr/>
        <w:tab/>
      </w:r>
      <w:r>
        <w:rPr>
          <w:spacing w:val="-5"/>
        </w:rPr>
        <w:t>101</w:t>
      </w:r>
    </w:p>
    <w:p>
      <w:pPr>
        <w:pStyle w:val="BodyText"/>
        <w:spacing w:before="12"/>
      </w:pPr>
    </w:p>
    <w:p>
      <w:pPr>
        <w:pStyle w:val="BodyText"/>
        <w:tabs>
          <w:tab w:pos="8110" w:val="left" w:leader="none"/>
        </w:tabs>
        <w:spacing w:line="491" w:lineRule="auto"/>
        <w:ind w:left="665" w:right="1109"/>
      </w:pPr>
      <w:r>
        <w:rPr/>
        <w:t>APPENDIX VIII: Calculated values of A</w:t>
      </w:r>
      <w:r>
        <w:rPr>
          <w:vertAlign w:val="subscript"/>
        </w:rPr>
        <w:t>R</w:t>
      </w:r>
      <w:r>
        <w:rPr>
          <w:vertAlign w:val="baseline"/>
        </w:rPr>
        <w:t> at various proportions of </w:t>
      </w:r>
      <w:r>
        <w:rPr>
          <w:spacing w:val="-2"/>
          <w:vertAlign w:val="baseline"/>
        </w:rPr>
        <w:t>Carboxyhaemoglobin</w:t>
      </w:r>
      <w:r>
        <w:rPr>
          <w:vertAlign w:val="baseline"/>
        </w:rPr>
        <w:tab/>
      </w:r>
      <w:r>
        <w:rPr>
          <w:spacing w:val="-4"/>
          <w:vertAlign w:val="baseline"/>
        </w:rPr>
        <w:t>102</w:t>
      </w:r>
    </w:p>
    <w:p>
      <w:pPr>
        <w:pStyle w:val="BodyText"/>
        <w:spacing w:line="253" w:lineRule="exact"/>
        <w:ind w:left="665"/>
      </w:pPr>
      <w:r>
        <w:rPr/>
        <w:t>APPENDIX</w:t>
      </w:r>
      <w:r>
        <w:rPr>
          <w:spacing w:val="14"/>
        </w:rPr>
        <w:t> </w:t>
      </w:r>
      <w:r>
        <w:rPr/>
        <w:t>IX:</w:t>
      </w:r>
      <w:r>
        <w:rPr>
          <w:spacing w:val="13"/>
        </w:rPr>
        <w:t> </w:t>
      </w:r>
      <w:r>
        <w:rPr/>
        <w:t>Blood</w:t>
      </w:r>
      <w:r>
        <w:rPr>
          <w:spacing w:val="22"/>
        </w:rPr>
        <w:t> </w:t>
      </w:r>
      <w:r>
        <w:rPr/>
        <w:t>Carboxyhaemoglobin</w:t>
      </w:r>
      <w:r>
        <w:rPr>
          <w:spacing w:val="11"/>
        </w:rPr>
        <w:t> </w:t>
      </w:r>
      <w:r>
        <w:rPr/>
        <w:t>levels</w:t>
      </w:r>
      <w:r>
        <w:rPr>
          <w:spacing w:val="12"/>
        </w:rPr>
        <w:t> </w:t>
      </w:r>
      <w:r>
        <w:rPr/>
        <w:t>as</w:t>
      </w:r>
      <w:r>
        <w:rPr>
          <w:spacing w:val="12"/>
        </w:rPr>
        <w:t> </w:t>
      </w:r>
      <w:r>
        <w:rPr/>
        <w:t>predicted</w:t>
      </w:r>
      <w:r>
        <w:rPr>
          <w:spacing w:val="22"/>
        </w:rPr>
        <w:t> </w:t>
      </w:r>
      <w:r>
        <w:rPr/>
        <w:t>from</w:t>
      </w:r>
      <w:r>
        <w:rPr>
          <w:spacing w:val="11"/>
        </w:rPr>
        <w:t> </w:t>
      </w:r>
      <w:r>
        <w:rPr>
          <w:spacing w:val="-5"/>
        </w:rPr>
        <w:t>the</w:t>
      </w:r>
    </w:p>
    <w:p>
      <w:pPr>
        <w:pStyle w:val="BodyText"/>
        <w:spacing w:before="13"/>
      </w:pPr>
    </w:p>
    <w:p>
      <w:pPr>
        <w:pStyle w:val="BodyText"/>
        <w:tabs>
          <w:tab w:pos="8110" w:val="left" w:leader="none"/>
        </w:tabs>
        <w:ind w:left="665"/>
      </w:pPr>
      <w:r>
        <w:rPr/>
        <w:t>coburn-forster-Kane</w:t>
      </w:r>
      <w:r>
        <w:rPr>
          <w:spacing w:val="23"/>
        </w:rPr>
        <w:t> </w:t>
      </w:r>
      <w:r>
        <w:rPr/>
        <w:t>(CFK)</w:t>
      </w:r>
      <w:r>
        <w:rPr>
          <w:spacing w:val="18"/>
        </w:rPr>
        <w:t> </w:t>
      </w:r>
      <w:r>
        <w:rPr>
          <w:spacing w:val="-4"/>
        </w:rPr>
        <w:t>model</w:t>
      </w:r>
      <w:r>
        <w:rPr/>
        <w:tab/>
      </w:r>
      <w:r>
        <w:rPr>
          <w:spacing w:val="-5"/>
        </w:rPr>
        <w:t>103</w:t>
      </w:r>
    </w:p>
    <w:p>
      <w:pPr>
        <w:spacing w:after="0"/>
        <w:sectPr>
          <w:pgSz w:w="12240" w:h="15840"/>
          <w:pgMar w:header="0" w:footer="916" w:top="1260" w:bottom="1100" w:left="1720" w:right="960"/>
        </w:sectPr>
      </w:pPr>
    </w:p>
    <w:p>
      <w:pPr>
        <w:pStyle w:val="Heading2"/>
        <w:ind w:left="462" w:right="696"/>
        <w:jc w:val="center"/>
      </w:pPr>
      <w:bookmarkStart w:name="_TOC_250048" w:id="9"/>
      <w:bookmarkEnd w:id="9"/>
      <w:r>
        <w:rPr>
          <w:spacing w:val="-2"/>
        </w:rPr>
        <w:t>ABBREVIATIONS</w:t>
      </w:r>
    </w:p>
    <w:p>
      <w:pPr>
        <w:pStyle w:val="BodyText"/>
        <w:rPr>
          <w:b/>
        </w:rPr>
      </w:pPr>
    </w:p>
    <w:p>
      <w:pPr>
        <w:pStyle w:val="BodyText"/>
        <w:rPr>
          <w:b/>
        </w:rPr>
      </w:pPr>
    </w:p>
    <w:p>
      <w:pPr>
        <w:pStyle w:val="BodyText"/>
        <w:spacing w:before="20"/>
        <w:rPr>
          <w:b/>
        </w:rPr>
      </w:pPr>
    </w:p>
    <w:p>
      <w:pPr>
        <w:pStyle w:val="BodyText"/>
        <w:tabs>
          <w:tab w:pos="2022" w:val="left" w:leader="none"/>
        </w:tabs>
        <w:ind w:left="665"/>
      </w:pPr>
      <w:r>
        <w:rPr>
          <w:spacing w:val="-5"/>
        </w:rPr>
        <w:t>AQS</w:t>
      </w:r>
      <w:r>
        <w:rPr/>
        <w:tab/>
        <w:t>Air</w:t>
      </w:r>
      <w:r>
        <w:rPr>
          <w:spacing w:val="12"/>
        </w:rPr>
        <w:t> </w:t>
      </w:r>
      <w:r>
        <w:rPr/>
        <w:t>Quality</w:t>
      </w:r>
      <w:r>
        <w:rPr>
          <w:spacing w:val="3"/>
        </w:rPr>
        <w:t> </w:t>
      </w:r>
      <w:r>
        <w:rPr>
          <w:spacing w:val="-2"/>
        </w:rPr>
        <w:t>Standard</w:t>
      </w:r>
    </w:p>
    <w:p>
      <w:pPr>
        <w:pStyle w:val="BodyText"/>
        <w:spacing w:before="12"/>
      </w:pPr>
    </w:p>
    <w:p>
      <w:pPr>
        <w:pStyle w:val="BodyText"/>
        <w:tabs>
          <w:tab w:pos="2019" w:val="left" w:leader="none"/>
        </w:tabs>
        <w:ind w:left="665"/>
      </w:pPr>
      <w:r>
        <w:rPr>
          <w:spacing w:val="-5"/>
        </w:rPr>
        <w:t>BBB</w:t>
      </w:r>
      <w:r>
        <w:rPr/>
        <w:tab/>
        <w:t>Blood-Brain-</w:t>
      </w:r>
      <w:r>
        <w:rPr>
          <w:spacing w:val="-2"/>
        </w:rPr>
        <w:t>Barrier</w:t>
      </w:r>
    </w:p>
    <w:p>
      <w:pPr>
        <w:pStyle w:val="BodyText"/>
        <w:spacing w:before="13"/>
      </w:pPr>
    </w:p>
    <w:p>
      <w:pPr>
        <w:pStyle w:val="BodyText"/>
        <w:tabs>
          <w:tab w:pos="2019" w:val="left" w:leader="none"/>
        </w:tabs>
        <w:ind w:left="665"/>
      </w:pPr>
      <w:r>
        <w:rPr>
          <w:spacing w:val="-5"/>
        </w:rPr>
        <w:t>BNB</w:t>
      </w:r>
      <w:r>
        <w:rPr/>
        <w:tab/>
        <w:t>Blood-Nerve-</w:t>
      </w:r>
      <w:r>
        <w:rPr>
          <w:spacing w:val="-2"/>
        </w:rPr>
        <w:t>Barrier</w:t>
      </w:r>
    </w:p>
    <w:p>
      <w:pPr>
        <w:pStyle w:val="BodyText"/>
        <w:spacing w:before="12"/>
      </w:pPr>
    </w:p>
    <w:p>
      <w:pPr>
        <w:pStyle w:val="BodyText"/>
        <w:tabs>
          <w:tab w:pos="2019" w:val="left" w:leader="none"/>
        </w:tabs>
        <w:spacing w:line="491" w:lineRule="auto"/>
        <w:ind w:left="665" w:right="4704"/>
      </w:pPr>
      <w:r>
        <w:rPr>
          <w:spacing w:val="-4"/>
        </w:rPr>
        <w:t>CDC</w:t>
      </w:r>
      <w:r>
        <w:rPr/>
        <w:tab/>
        <w:t>Centre for Disease Control </w:t>
      </w:r>
      <w:r>
        <w:rPr>
          <w:spacing w:val="-2"/>
        </w:rPr>
        <w:t>CMRO</w:t>
      </w:r>
      <w:r>
        <w:rPr>
          <w:spacing w:val="-2"/>
          <w:vertAlign w:val="subscript"/>
        </w:rPr>
        <w:t>2</w:t>
      </w:r>
      <w:r>
        <w:rPr>
          <w:vertAlign w:val="baseline"/>
        </w:rPr>
        <w:tab/>
        <w:t>Cerebral Metabolic Rate for O</w:t>
      </w:r>
      <w:r>
        <w:rPr>
          <w:vertAlign w:val="subscript"/>
        </w:rPr>
        <w:t>2</w:t>
      </w:r>
      <w:r>
        <w:rPr>
          <w:vertAlign w:val="baseline"/>
        </w:rPr>
        <w:t> </w:t>
      </w:r>
      <w:r>
        <w:rPr>
          <w:spacing w:val="-4"/>
          <w:vertAlign w:val="baseline"/>
        </w:rPr>
        <w:t>CNN</w:t>
      </w:r>
      <w:r>
        <w:rPr>
          <w:vertAlign w:val="baseline"/>
        </w:rPr>
        <w:tab/>
        <w:t>Cable Network News</w:t>
      </w:r>
    </w:p>
    <w:p>
      <w:pPr>
        <w:pStyle w:val="BodyText"/>
        <w:tabs>
          <w:tab w:pos="2019" w:val="left" w:leader="none"/>
        </w:tabs>
        <w:spacing w:line="252" w:lineRule="exact"/>
        <w:ind w:left="665"/>
      </w:pPr>
      <w:r>
        <w:rPr>
          <w:spacing w:val="-5"/>
        </w:rPr>
        <w:t>CNS</w:t>
      </w:r>
      <w:r>
        <w:rPr/>
        <w:tab/>
        <w:t>Central</w:t>
      </w:r>
      <w:r>
        <w:rPr>
          <w:spacing w:val="19"/>
        </w:rPr>
        <w:t> </w:t>
      </w:r>
      <w:r>
        <w:rPr/>
        <w:t>Nervous</w:t>
      </w:r>
      <w:r>
        <w:rPr>
          <w:spacing w:val="11"/>
        </w:rPr>
        <w:t> </w:t>
      </w:r>
      <w:r>
        <w:rPr>
          <w:spacing w:val="-2"/>
        </w:rPr>
        <w:t>System</w:t>
      </w:r>
    </w:p>
    <w:p>
      <w:pPr>
        <w:pStyle w:val="BodyText"/>
        <w:spacing w:before="13"/>
      </w:pPr>
    </w:p>
    <w:p>
      <w:pPr>
        <w:pStyle w:val="BodyText"/>
        <w:tabs>
          <w:tab w:pos="2019" w:val="left" w:leader="none"/>
        </w:tabs>
        <w:ind w:left="665"/>
      </w:pPr>
      <w:r>
        <w:rPr>
          <w:spacing w:val="-4"/>
        </w:rPr>
        <w:t>COHb</w:t>
      </w:r>
      <w:r>
        <w:rPr/>
        <w:tab/>
        <w:t>Carboxy</w:t>
      </w:r>
      <w:r>
        <w:rPr>
          <w:spacing w:val="15"/>
        </w:rPr>
        <w:t> </w:t>
      </w:r>
      <w:r>
        <w:rPr>
          <w:spacing w:val="-2"/>
        </w:rPr>
        <w:t>Haemoglobin</w:t>
      </w:r>
    </w:p>
    <w:p>
      <w:pPr>
        <w:pStyle w:val="BodyText"/>
        <w:spacing w:before="17"/>
      </w:pPr>
    </w:p>
    <w:p>
      <w:pPr>
        <w:pStyle w:val="BodyText"/>
        <w:tabs>
          <w:tab w:pos="2019" w:val="left" w:leader="none"/>
        </w:tabs>
        <w:ind w:left="665"/>
      </w:pPr>
      <w:r>
        <w:rPr>
          <w:spacing w:val="-5"/>
        </w:rPr>
        <w:t>CO</w:t>
      </w:r>
      <w:r>
        <w:rPr>
          <w:spacing w:val="-5"/>
          <w:vertAlign w:val="subscript"/>
        </w:rPr>
        <w:t>2</w:t>
      </w:r>
      <w:r>
        <w:rPr>
          <w:vertAlign w:val="baseline"/>
        </w:rPr>
        <w:tab/>
        <w:t>Carbon</w:t>
      </w:r>
      <w:r>
        <w:rPr>
          <w:spacing w:val="15"/>
          <w:vertAlign w:val="baseline"/>
        </w:rPr>
        <w:t> </w:t>
      </w:r>
      <w:r>
        <w:rPr>
          <w:spacing w:val="-2"/>
          <w:vertAlign w:val="baseline"/>
        </w:rPr>
        <w:t>dioxide</w:t>
      </w:r>
    </w:p>
    <w:p>
      <w:pPr>
        <w:pStyle w:val="BodyText"/>
        <w:spacing w:before="12"/>
      </w:pPr>
    </w:p>
    <w:p>
      <w:pPr>
        <w:pStyle w:val="BodyText"/>
        <w:tabs>
          <w:tab w:pos="2019" w:val="left" w:leader="none"/>
        </w:tabs>
        <w:ind w:left="665"/>
      </w:pPr>
      <w:r>
        <w:rPr>
          <w:spacing w:val="-5"/>
        </w:rPr>
        <w:t>CO</w:t>
      </w:r>
      <w:r>
        <w:rPr/>
        <w:tab/>
        <w:t>Carbon</w:t>
      </w:r>
      <w:r>
        <w:rPr>
          <w:spacing w:val="15"/>
        </w:rPr>
        <w:t> </w:t>
      </w:r>
      <w:r>
        <w:rPr>
          <w:spacing w:val="-2"/>
        </w:rPr>
        <w:t>monoxide</w:t>
      </w:r>
    </w:p>
    <w:p>
      <w:pPr>
        <w:pStyle w:val="BodyText"/>
        <w:spacing w:before="13"/>
      </w:pPr>
    </w:p>
    <w:p>
      <w:pPr>
        <w:pStyle w:val="BodyText"/>
        <w:tabs>
          <w:tab w:pos="2019" w:val="left" w:leader="none"/>
        </w:tabs>
        <w:ind w:left="665"/>
      </w:pPr>
      <w:r>
        <w:rPr>
          <w:spacing w:val="-5"/>
        </w:rPr>
        <w:t>CDC</w:t>
      </w:r>
      <w:r>
        <w:rPr/>
        <w:tab/>
        <w:t>Centre</w:t>
      </w:r>
      <w:r>
        <w:rPr>
          <w:spacing w:val="5"/>
        </w:rPr>
        <w:t> </w:t>
      </w:r>
      <w:r>
        <w:rPr/>
        <w:t>for</w:t>
      </w:r>
      <w:r>
        <w:rPr>
          <w:spacing w:val="11"/>
        </w:rPr>
        <w:t> </w:t>
      </w:r>
      <w:r>
        <w:rPr/>
        <w:t>Disease</w:t>
      </w:r>
      <w:r>
        <w:rPr>
          <w:spacing w:val="11"/>
        </w:rPr>
        <w:t> </w:t>
      </w:r>
      <w:r>
        <w:rPr>
          <w:spacing w:val="-2"/>
        </w:rPr>
        <w:t>Control</w:t>
      </w:r>
    </w:p>
    <w:p>
      <w:pPr>
        <w:pStyle w:val="BodyText"/>
        <w:spacing w:before="12"/>
      </w:pPr>
    </w:p>
    <w:p>
      <w:pPr>
        <w:pStyle w:val="BodyText"/>
        <w:tabs>
          <w:tab w:pos="2019" w:val="left" w:leader="none"/>
        </w:tabs>
        <w:spacing w:line="491" w:lineRule="auto"/>
        <w:ind w:left="665" w:right="4023"/>
      </w:pPr>
      <w:r>
        <w:rPr>
          <w:spacing w:val="-4"/>
        </w:rPr>
        <w:t>CPSC</w:t>
      </w:r>
      <w:r>
        <w:rPr/>
        <w:tab/>
        <w:t>Consumer Product Safety Commission </w:t>
      </w:r>
      <w:r>
        <w:rPr>
          <w:spacing w:val="-4"/>
        </w:rPr>
        <w:t>DWI</w:t>
      </w:r>
      <w:r>
        <w:rPr/>
        <w:tab/>
        <w:t>Diffusion Weighted Images</w:t>
      </w:r>
    </w:p>
    <w:p>
      <w:pPr>
        <w:pStyle w:val="BodyText"/>
        <w:tabs>
          <w:tab w:pos="2019" w:val="left" w:leader="none"/>
        </w:tabs>
        <w:spacing w:line="253" w:lineRule="exact"/>
        <w:ind w:left="665"/>
      </w:pPr>
      <w:r>
        <w:rPr>
          <w:spacing w:val="-5"/>
          <w:vertAlign w:val="superscript"/>
        </w:rPr>
        <w:t>0</w:t>
      </w:r>
      <w:r>
        <w:rPr>
          <w:spacing w:val="-5"/>
          <w:vertAlign w:val="baseline"/>
        </w:rPr>
        <w:t>C</w:t>
      </w:r>
      <w:r>
        <w:rPr>
          <w:vertAlign w:val="baseline"/>
        </w:rPr>
        <w:tab/>
        <w:t>Degree</w:t>
      </w:r>
      <w:r>
        <w:rPr>
          <w:spacing w:val="9"/>
          <w:vertAlign w:val="baseline"/>
        </w:rPr>
        <w:t> </w:t>
      </w:r>
      <w:r>
        <w:rPr>
          <w:spacing w:val="-2"/>
          <w:vertAlign w:val="baseline"/>
        </w:rPr>
        <w:t>Centigrade</w:t>
      </w:r>
    </w:p>
    <w:p>
      <w:pPr>
        <w:pStyle w:val="BodyText"/>
        <w:spacing w:before="13"/>
      </w:pPr>
    </w:p>
    <w:p>
      <w:pPr>
        <w:pStyle w:val="BodyText"/>
        <w:tabs>
          <w:tab w:pos="2019" w:val="left" w:leader="none"/>
        </w:tabs>
        <w:spacing w:line="491" w:lineRule="auto"/>
        <w:ind w:left="665" w:right="4297"/>
      </w:pPr>
      <w:r>
        <w:rPr>
          <w:spacing w:val="-4"/>
        </w:rPr>
        <w:t>EDTA</w:t>
      </w:r>
      <w:r>
        <w:rPr/>
        <w:tab/>
        <w:t>Ethylene Diamine Tetra acetic Acid </w:t>
      </w:r>
      <w:r>
        <w:rPr>
          <w:spacing w:val="-4"/>
        </w:rPr>
        <w:t>EPA</w:t>
      </w:r>
      <w:r>
        <w:rPr/>
        <w:tab/>
        <w:t>Environmental Protection Agency</w:t>
      </w:r>
    </w:p>
    <w:p>
      <w:pPr>
        <w:pStyle w:val="BodyText"/>
        <w:tabs>
          <w:tab w:pos="2019" w:val="left" w:leader="none"/>
        </w:tabs>
        <w:spacing w:line="253" w:lineRule="exact"/>
        <w:ind w:left="665"/>
      </w:pPr>
      <w:r>
        <w:rPr>
          <w:spacing w:val="-5"/>
        </w:rPr>
        <w:t>EPM</w:t>
      </w:r>
      <w:r>
        <w:rPr/>
        <w:tab/>
        <w:t>Elevated</w:t>
      </w:r>
      <w:r>
        <w:rPr>
          <w:spacing w:val="19"/>
        </w:rPr>
        <w:t> </w:t>
      </w:r>
      <w:r>
        <w:rPr/>
        <w:t>Plus</w:t>
      </w:r>
      <w:r>
        <w:rPr>
          <w:spacing w:val="3"/>
        </w:rPr>
        <w:t> </w:t>
      </w:r>
      <w:r>
        <w:rPr>
          <w:spacing w:val="-4"/>
        </w:rPr>
        <w:t>Maze</w:t>
      </w:r>
    </w:p>
    <w:p>
      <w:pPr>
        <w:pStyle w:val="BodyText"/>
        <w:spacing w:before="12"/>
      </w:pPr>
    </w:p>
    <w:p>
      <w:pPr>
        <w:pStyle w:val="BodyText"/>
        <w:tabs>
          <w:tab w:pos="2019" w:val="left" w:leader="none"/>
        </w:tabs>
        <w:spacing w:line="496" w:lineRule="auto"/>
        <w:ind w:left="665" w:right="3721"/>
      </w:pPr>
      <w:r>
        <w:rPr>
          <w:spacing w:val="-4"/>
        </w:rPr>
        <w:t>FEPA</w:t>
      </w:r>
      <w:r>
        <w:rPr/>
        <w:tab/>
        <w:t>Federal Environmental Protection Agency </w:t>
      </w:r>
      <w:r>
        <w:rPr>
          <w:spacing w:val="-10"/>
        </w:rPr>
        <w:t>g</w:t>
      </w:r>
      <w:r>
        <w:rPr/>
        <w:tab/>
      </w:r>
      <w:r>
        <w:rPr>
          <w:spacing w:val="-4"/>
        </w:rPr>
        <w:t>Gram</w:t>
      </w:r>
    </w:p>
    <w:p>
      <w:pPr>
        <w:pStyle w:val="BodyText"/>
        <w:tabs>
          <w:tab w:pos="2019" w:val="left" w:leader="none"/>
        </w:tabs>
        <w:spacing w:line="247" w:lineRule="exact"/>
        <w:ind w:left="665"/>
      </w:pPr>
      <w:r>
        <w:rPr>
          <w:spacing w:val="-5"/>
        </w:rPr>
        <w:t>Hb</w:t>
      </w:r>
      <w:r>
        <w:rPr/>
        <w:tab/>
      </w:r>
      <w:r>
        <w:rPr>
          <w:spacing w:val="-2"/>
        </w:rPr>
        <w:t>Haemoglobin</w:t>
      </w:r>
    </w:p>
    <w:p>
      <w:pPr>
        <w:pStyle w:val="BodyText"/>
        <w:spacing w:before="12"/>
      </w:pPr>
    </w:p>
    <w:p>
      <w:pPr>
        <w:pStyle w:val="BodyText"/>
        <w:tabs>
          <w:tab w:pos="2019" w:val="left" w:leader="none"/>
        </w:tabs>
        <w:spacing w:before="1"/>
        <w:ind w:left="665"/>
      </w:pPr>
      <w:r>
        <w:rPr>
          <w:spacing w:val="-4"/>
        </w:rPr>
        <w:t>H</w:t>
      </w:r>
      <w:r>
        <w:rPr>
          <w:spacing w:val="-4"/>
          <w:vertAlign w:val="subscript"/>
        </w:rPr>
        <w:t>2</w:t>
      </w:r>
      <w:r>
        <w:rPr>
          <w:spacing w:val="-4"/>
          <w:vertAlign w:val="baseline"/>
        </w:rPr>
        <w:t>O</w:t>
      </w:r>
      <w:r>
        <w:rPr>
          <w:spacing w:val="-4"/>
          <w:vertAlign w:val="subscript"/>
        </w:rPr>
        <w:t>2</w:t>
      </w:r>
      <w:r>
        <w:rPr>
          <w:vertAlign w:val="baseline"/>
        </w:rPr>
        <w:tab/>
        <w:t>Hydrogen</w:t>
      </w:r>
      <w:r>
        <w:rPr>
          <w:spacing w:val="13"/>
          <w:vertAlign w:val="baseline"/>
        </w:rPr>
        <w:t> </w:t>
      </w:r>
      <w:r>
        <w:rPr>
          <w:spacing w:val="-2"/>
          <w:vertAlign w:val="baseline"/>
        </w:rPr>
        <w:t>Peroxide</w:t>
      </w:r>
    </w:p>
    <w:p>
      <w:pPr>
        <w:pStyle w:val="BodyText"/>
        <w:spacing w:before="12"/>
      </w:pPr>
    </w:p>
    <w:p>
      <w:pPr>
        <w:pStyle w:val="BodyText"/>
        <w:tabs>
          <w:tab w:pos="2019" w:val="left" w:leader="none"/>
        </w:tabs>
        <w:ind w:left="665"/>
      </w:pPr>
      <w:r>
        <w:rPr>
          <w:spacing w:val="-5"/>
        </w:rPr>
        <w:t>IAQ</w:t>
      </w:r>
      <w:r>
        <w:rPr/>
        <w:tab/>
        <w:t>International</w:t>
      </w:r>
      <w:r>
        <w:rPr>
          <w:spacing w:val="7"/>
        </w:rPr>
        <w:t> </w:t>
      </w:r>
      <w:r>
        <w:rPr/>
        <w:t>Air</w:t>
      </w:r>
      <w:r>
        <w:rPr>
          <w:spacing w:val="17"/>
        </w:rPr>
        <w:t> </w:t>
      </w:r>
      <w:r>
        <w:rPr>
          <w:spacing w:val="-2"/>
        </w:rPr>
        <w:t>Quality</w:t>
      </w:r>
    </w:p>
    <w:p>
      <w:pPr>
        <w:pStyle w:val="BodyText"/>
        <w:spacing w:before="12"/>
      </w:pPr>
    </w:p>
    <w:p>
      <w:pPr>
        <w:pStyle w:val="BodyText"/>
        <w:tabs>
          <w:tab w:pos="2019" w:val="left" w:leader="none"/>
        </w:tabs>
        <w:spacing w:before="1"/>
        <w:ind w:left="665"/>
      </w:pPr>
      <w:r>
        <w:rPr>
          <w:spacing w:val="-5"/>
        </w:rPr>
        <w:t>kg</w:t>
      </w:r>
      <w:r>
        <w:rPr/>
        <w:tab/>
      </w:r>
      <w:r>
        <w:rPr>
          <w:spacing w:val="-2"/>
        </w:rPr>
        <w:t>Kilogram</w:t>
      </w:r>
    </w:p>
    <w:p>
      <w:pPr>
        <w:spacing w:after="0"/>
        <w:sectPr>
          <w:pgSz w:w="12240" w:h="15840"/>
          <w:pgMar w:header="0" w:footer="916" w:top="1260" w:bottom="1100" w:left="1720" w:right="960"/>
        </w:sectPr>
      </w:pPr>
    </w:p>
    <w:p>
      <w:pPr>
        <w:pStyle w:val="BodyText"/>
        <w:tabs>
          <w:tab w:pos="2019" w:val="left" w:leader="none"/>
        </w:tabs>
        <w:spacing w:before="75"/>
        <w:ind w:left="665"/>
      </w:pPr>
      <w:r>
        <w:rPr>
          <w:spacing w:val="-5"/>
        </w:rPr>
        <w:t>kW</w:t>
      </w:r>
      <w:r>
        <w:rPr/>
        <w:tab/>
      </w:r>
      <w:r>
        <w:rPr>
          <w:spacing w:val="-2"/>
        </w:rPr>
        <w:t>Kilowatt</w:t>
      </w:r>
    </w:p>
    <w:p>
      <w:pPr>
        <w:pStyle w:val="BodyText"/>
        <w:spacing w:before="12"/>
      </w:pPr>
    </w:p>
    <w:p>
      <w:pPr>
        <w:pStyle w:val="BodyText"/>
        <w:tabs>
          <w:tab w:pos="2019" w:val="left" w:leader="none"/>
        </w:tabs>
        <w:spacing w:before="1"/>
        <w:ind w:left="665"/>
      </w:pPr>
      <w:r>
        <w:rPr>
          <w:spacing w:val="-10"/>
        </w:rPr>
        <w:t>m</w:t>
      </w:r>
      <w:r>
        <w:rPr/>
        <w:tab/>
      </w:r>
      <w:r>
        <w:rPr>
          <w:spacing w:val="-4"/>
        </w:rPr>
        <w:t>Metre</w:t>
      </w:r>
    </w:p>
    <w:p>
      <w:pPr>
        <w:pStyle w:val="BodyText"/>
        <w:spacing w:before="12"/>
      </w:pPr>
    </w:p>
    <w:p>
      <w:pPr>
        <w:pStyle w:val="BodyText"/>
        <w:tabs>
          <w:tab w:pos="2019" w:val="left" w:leader="none"/>
        </w:tabs>
        <w:ind w:left="665"/>
      </w:pPr>
      <w:r>
        <w:rPr>
          <w:spacing w:val="-5"/>
        </w:rPr>
        <w:t>m</w:t>
      </w:r>
      <w:r>
        <w:rPr>
          <w:spacing w:val="-5"/>
          <w:vertAlign w:val="superscript"/>
        </w:rPr>
        <w:t>3</w:t>
      </w:r>
      <w:r>
        <w:rPr>
          <w:vertAlign w:val="baseline"/>
        </w:rPr>
        <w:tab/>
        <w:t>Metre</w:t>
      </w:r>
      <w:r>
        <w:rPr>
          <w:spacing w:val="16"/>
          <w:vertAlign w:val="baseline"/>
        </w:rPr>
        <w:t> </w:t>
      </w:r>
      <w:r>
        <w:rPr>
          <w:spacing w:val="-4"/>
          <w:vertAlign w:val="baseline"/>
        </w:rPr>
        <w:t>cube</w:t>
      </w:r>
    </w:p>
    <w:p>
      <w:pPr>
        <w:pStyle w:val="BodyText"/>
        <w:spacing w:before="12"/>
      </w:pPr>
    </w:p>
    <w:p>
      <w:pPr>
        <w:pStyle w:val="BodyText"/>
        <w:tabs>
          <w:tab w:pos="2019" w:val="left" w:leader="none"/>
        </w:tabs>
        <w:ind w:left="665"/>
      </w:pPr>
      <w:r>
        <w:rPr>
          <w:spacing w:val="-4"/>
        </w:rPr>
        <w:t>mEq/L</w:t>
      </w:r>
      <w:r>
        <w:rPr/>
        <w:tab/>
        <w:t>Milli-equivalent</w:t>
      </w:r>
      <w:r>
        <w:rPr>
          <w:spacing w:val="16"/>
        </w:rPr>
        <w:t> </w:t>
      </w:r>
      <w:r>
        <w:rPr/>
        <w:t>per</w:t>
      </w:r>
      <w:r>
        <w:rPr>
          <w:spacing w:val="20"/>
        </w:rPr>
        <w:t> </w:t>
      </w:r>
      <w:r>
        <w:rPr>
          <w:spacing w:val="-4"/>
        </w:rPr>
        <w:t>litre</w:t>
      </w:r>
    </w:p>
    <w:p>
      <w:pPr>
        <w:pStyle w:val="BodyText"/>
        <w:spacing w:before="13"/>
      </w:pPr>
    </w:p>
    <w:p>
      <w:pPr>
        <w:pStyle w:val="BodyText"/>
        <w:tabs>
          <w:tab w:pos="2019" w:val="left" w:leader="none"/>
        </w:tabs>
        <w:ind w:left="665"/>
      </w:pPr>
      <w:r>
        <w:rPr>
          <w:spacing w:val="-5"/>
        </w:rPr>
        <w:t>mg</w:t>
      </w:r>
      <w:r>
        <w:rPr/>
        <w:tab/>
      </w:r>
      <w:r>
        <w:rPr>
          <w:spacing w:val="-2"/>
        </w:rPr>
        <w:t>Milligram</w:t>
      </w:r>
    </w:p>
    <w:p>
      <w:pPr>
        <w:pStyle w:val="BodyText"/>
        <w:spacing w:before="12"/>
      </w:pPr>
    </w:p>
    <w:p>
      <w:pPr>
        <w:pStyle w:val="BodyText"/>
        <w:tabs>
          <w:tab w:pos="2019" w:val="left" w:leader="none"/>
        </w:tabs>
        <w:ind w:left="665"/>
      </w:pPr>
      <w:r>
        <w:rPr>
          <w:spacing w:val="-5"/>
        </w:rPr>
        <w:t>ml</w:t>
      </w:r>
      <w:r>
        <w:rPr/>
        <w:tab/>
      </w:r>
      <w:r>
        <w:rPr>
          <w:spacing w:val="-2"/>
        </w:rPr>
        <w:t>Milliliter</w:t>
      </w:r>
    </w:p>
    <w:p>
      <w:pPr>
        <w:pStyle w:val="BodyText"/>
        <w:spacing w:before="13"/>
      </w:pPr>
    </w:p>
    <w:p>
      <w:pPr>
        <w:tabs>
          <w:tab w:pos="2019" w:val="left" w:leader="none"/>
        </w:tabs>
        <w:spacing w:before="0"/>
        <w:ind w:left="665" w:right="0" w:firstLine="0"/>
        <w:jc w:val="left"/>
        <w:rPr>
          <w:sz w:val="22"/>
        </w:rPr>
      </w:pPr>
      <w:r>
        <w:rPr>
          <w:i/>
          <w:spacing w:val="-5"/>
          <w:sz w:val="22"/>
        </w:rPr>
        <w:t>µg</w:t>
      </w:r>
      <w:r>
        <w:rPr>
          <w:i/>
          <w:sz w:val="22"/>
        </w:rPr>
        <w:tab/>
      </w:r>
      <w:r>
        <w:rPr>
          <w:spacing w:val="-2"/>
          <w:sz w:val="22"/>
        </w:rPr>
        <w:t>Microgram</w:t>
      </w:r>
    </w:p>
    <w:p>
      <w:pPr>
        <w:pStyle w:val="BodyText"/>
        <w:spacing w:before="12"/>
      </w:pPr>
    </w:p>
    <w:p>
      <w:pPr>
        <w:tabs>
          <w:tab w:pos="2019" w:val="left" w:leader="none"/>
        </w:tabs>
        <w:spacing w:before="0"/>
        <w:ind w:left="665" w:right="0" w:firstLine="0"/>
        <w:jc w:val="left"/>
        <w:rPr>
          <w:sz w:val="22"/>
        </w:rPr>
      </w:pPr>
      <w:r>
        <w:rPr>
          <w:i/>
          <w:spacing w:val="-5"/>
          <w:sz w:val="22"/>
        </w:rPr>
        <w:t>µl</w:t>
      </w:r>
      <w:r>
        <w:rPr>
          <w:i/>
          <w:sz w:val="22"/>
        </w:rPr>
        <w:tab/>
      </w:r>
      <w:r>
        <w:rPr>
          <w:spacing w:val="-2"/>
          <w:sz w:val="22"/>
        </w:rPr>
        <w:t>Microlitre</w:t>
      </w:r>
    </w:p>
    <w:p>
      <w:pPr>
        <w:pStyle w:val="BodyText"/>
        <w:spacing w:before="12"/>
      </w:pPr>
    </w:p>
    <w:p>
      <w:pPr>
        <w:pStyle w:val="BodyText"/>
        <w:tabs>
          <w:tab w:pos="2019" w:val="left" w:leader="none"/>
        </w:tabs>
        <w:spacing w:before="1"/>
        <w:ind w:left="665"/>
      </w:pPr>
      <w:r>
        <w:rPr>
          <w:spacing w:val="-5"/>
        </w:rPr>
        <w:t>MRI</w:t>
      </w:r>
      <w:r>
        <w:rPr/>
        <w:tab/>
        <w:t>Magnetic</w:t>
      </w:r>
      <w:r>
        <w:rPr>
          <w:spacing w:val="17"/>
        </w:rPr>
        <w:t> </w:t>
      </w:r>
      <w:r>
        <w:rPr/>
        <w:t>Resonance</w:t>
      </w:r>
      <w:r>
        <w:rPr>
          <w:spacing w:val="12"/>
        </w:rPr>
        <w:t> </w:t>
      </w:r>
      <w:r>
        <w:rPr>
          <w:spacing w:val="-2"/>
        </w:rPr>
        <w:t>Images</w:t>
      </w:r>
    </w:p>
    <w:p>
      <w:pPr>
        <w:pStyle w:val="BodyText"/>
        <w:spacing w:before="12"/>
      </w:pPr>
    </w:p>
    <w:p>
      <w:pPr>
        <w:pStyle w:val="BodyText"/>
        <w:tabs>
          <w:tab w:pos="2019" w:val="left" w:leader="none"/>
        </w:tabs>
        <w:spacing w:line="496" w:lineRule="auto"/>
        <w:ind w:left="665" w:right="3877"/>
      </w:pPr>
      <w:r>
        <w:rPr>
          <w:spacing w:val="-2"/>
        </w:rPr>
        <w:t>NAAQS</w:t>
      </w:r>
      <w:r>
        <w:rPr/>
        <w:tab/>
        <w:t>National Ambient Air Quality Standards </w:t>
      </w:r>
      <w:r>
        <w:rPr>
          <w:spacing w:val="-6"/>
        </w:rPr>
        <w:t>NO</w:t>
      </w:r>
      <w:r>
        <w:rPr/>
        <w:tab/>
        <w:t>Nitrogen oxide</w:t>
      </w:r>
    </w:p>
    <w:p>
      <w:pPr>
        <w:pStyle w:val="ListParagraph"/>
        <w:numPr>
          <w:ilvl w:val="0"/>
          <w:numId w:val="14"/>
        </w:numPr>
        <w:tabs>
          <w:tab w:pos="745" w:val="left" w:leader="none"/>
          <w:tab w:pos="2019" w:val="left" w:leader="none"/>
        </w:tabs>
        <w:spacing w:line="491" w:lineRule="auto" w:before="0" w:after="0"/>
        <w:ind w:left="665" w:right="5379" w:firstLine="0"/>
        <w:jc w:val="left"/>
        <w:rPr>
          <w:sz w:val="22"/>
        </w:rPr>
      </w:pPr>
      <w:r>
        <w:rPr>
          <w:spacing w:val="-6"/>
          <w:sz w:val="22"/>
        </w:rPr>
        <w:t>NO</w:t>
      </w:r>
      <w:r>
        <w:rPr>
          <w:sz w:val="22"/>
        </w:rPr>
        <w:tab/>
        <w:t>Nitric oxide free radical </w:t>
      </w:r>
      <w:r>
        <w:rPr>
          <w:spacing w:val="-2"/>
          <w:sz w:val="22"/>
        </w:rPr>
        <w:t>NO-Hb</w:t>
      </w:r>
      <w:r>
        <w:rPr>
          <w:sz w:val="22"/>
        </w:rPr>
        <w:tab/>
      </w:r>
      <w:r>
        <w:rPr>
          <w:spacing w:val="-2"/>
          <w:sz w:val="22"/>
        </w:rPr>
        <w:t>Nitrosyl-Haemoglobin NO-Mb</w:t>
      </w:r>
      <w:r>
        <w:rPr>
          <w:sz w:val="22"/>
        </w:rPr>
        <w:tab/>
      </w:r>
      <w:r>
        <w:rPr>
          <w:spacing w:val="-2"/>
          <w:sz w:val="22"/>
        </w:rPr>
        <w:t>Nitrosyl-Myoglobin</w:t>
      </w:r>
    </w:p>
    <w:p>
      <w:pPr>
        <w:pStyle w:val="BodyText"/>
        <w:tabs>
          <w:tab w:pos="2019" w:val="left" w:leader="none"/>
        </w:tabs>
        <w:spacing w:line="252" w:lineRule="exact"/>
        <w:ind w:left="665"/>
      </w:pPr>
      <w:r>
        <w:rPr>
          <w:spacing w:val="-4"/>
        </w:rPr>
        <w:t>nmol</w:t>
      </w:r>
      <w:r>
        <w:rPr/>
        <w:tab/>
      </w:r>
      <w:r>
        <w:rPr>
          <w:spacing w:val="-2"/>
        </w:rPr>
        <w:t>Nanomole</w:t>
      </w:r>
    </w:p>
    <w:p>
      <w:pPr>
        <w:pStyle w:val="BodyText"/>
        <w:spacing w:before="7"/>
      </w:pPr>
    </w:p>
    <w:p>
      <w:pPr>
        <w:pStyle w:val="BodyText"/>
        <w:tabs>
          <w:tab w:pos="2019" w:val="left" w:leader="none"/>
        </w:tabs>
        <w:ind w:left="665"/>
      </w:pPr>
      <w:r>
        <w:rPr>
          <w:spacing w:val="-5"/>
          <w:w w:val="105"/>
        </w:rPr>
        <w:t>O</w:t>
      </w:r>
      <w:r>
        <w:rPr>
          <w:spacing w:val="-5"/>
          <w:w w:val="105"/>
          <w:vertAlign w:val="subscript"/>
        </w:rPr>
        <w:t>2</w:t>
      </w:r>
      <w:r>
        <w:rPr>
          <w:vertAlign w:val="baseline"/>
        </w:rPr>
        <w:tab/>
      </w:r>
      <w:r>
        <w:rPr>
          <w:spacing w:val="-2"/>
          <w:w w:val="105"/>
          <w:vertAlign w:val="baseline"/>
        </w:rPr>
        <w:t>Oxygen</w:t>
      </w:r>
    </w:p>
    <w:p>
      <w:pPr>
        <w:pStyle w:val="BodyText"/>
        <w:spacing w:before="12"/>
      </w:pPr>
    </w:p>
    <w:p>
      <w:pPr>
        <w:pStyle w:val="BodyText"/>
        <w:tabs>
          <w:tab w:pos="2019" w:val="left" w:leader="none"/>
        </w:tabs>
        <w:ind w:left="665"/>
      </w:pPr>
      <w:r>
        <w:rPr>
          <w:spacing w:val="-4"/>
        </w:rPr>
        <w:t>pmol</w:t>
      </w:r>
      <w:r>
        <w:rPr/>
        <w:tab/>
      </w:r>
      <w:r>
        <w:rPr>
          <w:spacing w:val="-2"/>
        </w:rPr>
        <w:t>Picomole</w:t>
      </w:r>
    </w:p>
    <w:p>
      <w:pPr>
        <w:pStyle w:val="BodyText"/>
        <w:spacing w:before="13"/>
      </w:pPr>
    </w:p>
    <w:p>
      <w:pPr>
        <w:pStyle w:val="BodyText"/>
        <w:tabs>
          <w:tab w:pos="2019" w:val="left" w:leader="none"/>
        </w:tabs>
        <w:ind w:left="665"/>
      </w:pPr>
      <w:r>
        <w:rPr>
          <w:spacing w:val="-5"/>
        </w:rPr>
        <w:t>ppm</w:t>
      </w:r>
      <w:r>
        <w:rPr/>
        <w:tab/>
        <w:t>Parts</w:t>
      </w:r>
      <w:r>
        <w:rPr>
          <w:spacing w:val="5"/>
        </w:rPr>
        <w:t> </w:t>
      </w:r>
      <w:r>
        <w:rPr/>
        <w:t>per</w:t>
      </w:r>
      <w:r>
        <w:rPr>
          <w:spacing w:val="16"/>
        </w:rPr>
        <w:t> </w:t>
      </w:r>
      <w:r>
        <w:rPr>
          <w:spacing w:val="-2"/>
        </w:rPr>
        <w:t>million</w:t>
      </w:r>
    </w:p>
    <w:p>
      <w:pPr>
        <w:pStyle w:val="BodyText"/>
        <w:spacing w:before="12"/>
      </w:pPr>
    </w:p>
    <w:p>
      <w:pPr>
        <w:pStyle w:val="BodyText"/>
        <w:tabs>
          <w:tab w:pos="2019" w:val="left" w:leader="none"/>
        </w:tabs>
        <w:ind w:left="665"/>
      </w:pPr>
      <w:r>
        <w:rPr>
          <w:spacing w:val="-5"/>
        </w:rPr>
        <w:t>Po</w:t>
      </w:r>
      <w:r>
        <w:rPr>
          <w:spacing w:val="-5"/>
          <w:vertAlign w:val="subscript"/>
        </w:rPr>
        <w:t>2</w:t>
      </w:r>
      <w:r>
        <w:rPr>
          <w:vertAlign w:val="baseline"/>
        </w:rPr>
        <w:tab/>
        <w:t>Partial</w:t>
      </w:r>
      <w:r>
        <w:rPr>
          <w:spacing w:val="12"/>
          <w:vertAlign w:val="baseline"/>
        </w:rPr>
        <w:t> </w:t>
      </w:r>
      <w:r>
        <w:rPr>
          <w:vertAlign w:val="baseline"/>
        </w:rPr>
        <w:t>pressure</w:t>
      </w:r>
      <w:r>
        <w:rPr>
          <w:spacing w:val="8"/>
          <w:vertAlign w:val="baseline"/>
        </w:rPr>
        <w:t> </w:t>
      </w:r>
      <w:r>
        <w:rPr>
          <w:vertAlign w:val="baseline"/>
        </w:rPr>
        <w:t>of</w:t>
      </w:r>
      <w:r>
        <w:rPr>
          <w:spacing w:val="14"/>
          <w:vertAlign w:val="baseline"/>
        </w:rPr>
        <w:t> </w:t>
      </w:r>
      <w:r>
        <w:rPr>
          <w:spacing w:val="-2"/>
          <w:vertAlign w:val="baseline"/>
        </w:rPr>
        <w:t>Oxygen</w:t>
      </w:r>
    </w:p>
    <w:p>
      <w:pPr>
        <w:pStyle w:val="BodyText"/>
        <w:spacing w:before="12"/>
      </w:pPr>
    </w:p>
    <w:p>
      <w:pPr>
        <w:pStyle w:val="BodyText"/>
        <w:tabs>
          <w:tab w:pos="2019" w:val="left" w:leader="none"/>
        </w:tabs>
        <w:spacing w:before="1"/>
        <w:ind w:left="665"/>
      </w:pPr>
      <w:r>
        <w:rPr>
          <w:spacing w:val="-4"/>
        </w:rPr>
        <w:t>Pco</w:t>
      </w:r>
      <w:r>
        <w:rPr>
          <w:spacing w:val="-4"/>
          <w:vertAlign w:val="subscript"/>
        </w:rPr>
        <w:t>2</w:t>
      </w:r>
      <w:r>
        <w:rPr>
          <w:vertAlign w:val="baseline"/>
        </w:rPr>
        <w:tab/>
        <w:t>Partial</w:t>
      </w:r>
      <w:r>
        <w:rPr>
          <w:spacing w:val="11"/>
          <w:vertAlign w:val="baseline"/>
        </w:rPr>
        <w:t> </w:t>
      </w:r>
      <w:r>
        <w:rPr>
          <w:vertAlign w:val="baseline"/>
        </w:rPr>
        <w:t>pressure</w:t>
      </w:r>
      <w:r>
        <w:rPr>
          <w:spacing w:val="8"/>
          <w:vertAlign w:val="baseline"/>
        </w:rPr>
        <w:t> </w:t>
      </w:r>
      <w:r>
        <w:rPr>
          <w:vertAlign w:val="baseline"/>
        </w:rPr>
        <w:t>of</w:t>
      </w:r>
      <w:r>
        <w:rPr>
          <w:spacing w:val="14"/>
          <w:vertAlign w:val="baseline"/>
        </w:rPr>
        <w:t> </w:t>
      </w:r>
      <w:r>
        <w:rPr>
          <w:vertAlign w:val="baseline"/>
        </w:rPr>
        <w:t>Carbon</w:t>
      </w:r>
      <w:r>
        <w:rPr>
          <w:spacing w:val="9"/>
          <w:vertAlign w:val="baseline"/>
        </w:rPr>
        <w:t> </w:t>
      </w:r>
      <w:r>
        <w:rPr>
          <w:spacing w:val="-2"/>
          <w:vertAlign w:val="baseline"/>
        </w:rPr>
        <w:t>dioxide</w:t>
      </w:r>
    </w:p>
    <w:p>
      <w:pPr>
        <w:pStyle w:val="BodyText"/>
        <w:spacing w:before="17"/>
      </w:pPr>
    </w:p>
    <w:p>
      <w:pPr>
        <w:pStyle w:val="BodyText"/>
        <w:tabs>
          <w:tab w:pos="2019" w:val="left" w:leader="none"/>
        </w:tabs>
        <w:ind w:left="665"/>
      </w:pPr>
      <w:r>
        <w:rPr>
          <w:spacing w:val="-5"/>
        </w:rPr>
        <w:t>Pco</w:t>
      </w:r>
      <w:r>
        <w:rPr/>
        <w:tab/>
        <w:t>Partial</w:t>
      </w:r>
      <w:r>
        <w:rPr>
          <w:spacing w:val="11"/>
        </w:rPr>
        <w:t> </w:t>
      </w:r>
      <w:r>
        <w:rPr/>
        <w:t>pressure</w:t>
      </w:r>
      <w:r>
        <w:rPr>
          <w:spacing w:val="8"/>
        </w:rPr>
        <w:t> </w:t>
      </w:r>
      <w:r>
        <w:rPr/>
        <w:t>of</w:t>
      </w:r>
      <w:r>
        <w:rPr>
          <w:spacing w:val="14"/>
        </w:rPr>
        <w:t> </w:t>
      </w:r>
      <w:r>
        <w:rPr/>
        <w:t>Carbon</w:t>
      </w:r>
      <w:r>
        <w:rPr>
          <w:spacing w:val="9"/>
        </w:rPr>
        <w:t> </w:t>
      </w:r>
      <w:r>
        <w:rPr>
          <w:spacing w:val="-2"/>
        </w:rPr>
        <w:t>monoxide</w:t>
      </w:r>
    </w:p>
    <w:p>
      <w:pPr>
        <w:pStyle w:val="BodyText"/>
        <w:spacing w:before="12"/>
      </w:pPr>
    </w:p>
    <w:p>
      <w:pPr>
        <w:pStyle w:val="BodyText"/>
        <w:tabs>
          <w:tab w:pos="2019" w:val="left" w:leader="none"/>
        </w:tabs>
        <w:ind w:left="665"/>
      </w:pPr>
      <w:r>
        <w:rPr>
          <w:spacing w:val="-5"/>
        </w:rPr>
        <w:t>PG</w:t>
      </w:r>
      <w:r>
        <w:rPr/>
        <w:tab/>
      </w:r>
      <w:r>
        <w:rPr>
          <w:spacing w:val="-2"/>
        </w:rPr>
        <w:t>Prostaglandins</w:t>
      </w:r>
    </w:p>
    <w:p>
      <w:pPr>
        <w:pStyle w:val="BodyText"/>
        <w:spacing w:before="13"/>
      </w:pPr>
    </w:p>
    <w:p>
      <w:pPr>
        <w:pStyle w:val="BodyText"/>
        <w:tabs>
          <w:tab w:pos="2019" w:val="left" w:leader="none"/>
        </w:tabs>
        <w:ind w:left="665"/>
      </w:pPr>
      <w:r>
        <w:rPr>
          <w:spacing w:val="-5"/>
        </w:rPr>
        <w:t>RBC</w:t>
      </w:r>
      <w:r>
        <w:rPr/>
        <w:tab/>
        <w:t>Red</w:t>
      </w:r>
      <w:r>
        <w:rPr>
          <w:spacing w:val="13"/>
        </w:rPr>
        <w:t> </w:t>
      </w:r>
      <w:r>
        <w:rPr/>
        <w:t>Blood</w:t>
      </w:r>
      <w:r>
        <w:rPr>
          <w:spacing w:val="7"/>
        </w:rPr>
        <w:t> </w:t>
      </w:r>
      <w:r>
        <w:rPr>
          <w:spacing w:val="-4"/>
        </w:rPr>
        <w:t>Cells</w:t>
      </w:r>
    </w:p>
    <w:p>
      <w:pPr>
        <w:pStyle w:val="BodyText"/>
        <w:spacing w:before="12"/>
      </w:pPr>
    </w:p>
    <w:p>
      <w:pPr>
        <w:pStyle w:val="BodyText"/>
        <w:tabs>
          <w:tab w:pos="2019" w:val="left" w:leader="none"/>
        </w:tabs>
        <w:ind w:left="665"/>
      </w:pPr>
      <w:r>
        <w:rPr>
          <w:spacing w:val="-5"/>
        </w:rPr>
        <w:t>SEM</w:t>
      </w:r>
      <w:r>
        <w:rPr/>
        <w:tab/>
        <w:t>Standard</w:t>
      </w:r>
      <w:r>
        <w:rPr>
          <w:spacing w:val="13"/>
        </w:rPr>
        <w:t> </w:t>
      </w:r>
      <w:r>
        <w:rPr/>
        <w:t>Error</w:t>
      </w:r>
      <w:r>
        <w:rPr>
          <w:spacing w:val="8"/>
        </w:rPr>
        <w:t> </w:t>
      </w:r>
      <w:r>
        <w:rPr/>
        <w:t>of</w:t>
      </w:r>
      <w:r>
        <w:rPr>
          <w:spacing w:val="7"/>
        </w:rPr>
        <w:t> </w:t>
      </w:r>
      <w:r>
        <w:rPr>
          <w:spacing w:val="-4"/>
        </w:rPr>
        <w:t>mean</w:t>
      </w:r>
    </w:p>
    <w:p>
      <w:pPr>
        <w:pStyle w:val="BodyText"/>
        <w:spacing w:before="12"/>
      </w:pPr>
    </w:p>
    <w:p>
      <w:pPr>
        <w:pStyle w:val="BodyText"/>
        <w:tabs>
          <w:tab w:pos="2019" w:val="left" w:leader="none"/>
        </w:tabs>
        <w:spacing w:before="1"/>
        <w:ind w:left="665"/>
      </w:pPr>
      <w:r>
        <w:rPr>
          <w:spacing w:val="-5"/>
        </w:rPr>
        <w:t>STP</w:t>
      </w:r>
      <w:r>
        <w:rPr/>
        <w:tab/>
        <w:t>Standard</w:t>
      </w:r>
      <w:r>
        <w:rPr>
          <w:spacing w:val="14"/>
        </w:rPr>
        <w:t> </w:t>
      </w:r>
      <w:r>
        <w:rPr/>
        <w:t>Temperature</w:t>
      </w:r>
      <w:r>
        <w:rPr>
          <w:spacing w:val="14"/>
        </w:rPr>
        <w:t> </w:t>
      </w:r>
      <w:r>
        <w:rPr/>
        <w:t>and</w:t>
      </w:r>
      <w:r>
        <w:rPr>
          <w:spacing w:val="21"/>
        </w:rPr>
        <w:t> </w:t>
      </w:r>
      <w:r>
        <w:rPr>
          <w:spacing w:val="-2"/>
        </w:rPr>
        <w:t>Pressure</w:t>
      </w:r>
    </w:p>
    <w:p>
      <w:pPr>
        <w:spacing w:after="0"/>
        <w:sectPr>
          <w:pgSz w:w="12240" w:h="15840"/>
          <w:pgMar w:header="0" w:footer="916" w:top="1260" w:bottom="1100" w:left="1720" w:right="960"/>
        </w:sectPr>
      </w:pPr>
    </w:p>
    <w:tbl>
      <w:tblPr>
        <w:tblW w:w="0" w:type="auto"/>
        <w:jc w:val="left"/>
        <w:tblInd w:w="6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84"/>
        <w:gridCol w:w="4725"/>
      </w:tblGrid>
      <w:tr>
        <w:trPr>
          <w:trHeight w:val="384" w:hRule="atLeast"/>
        </w:trPr>
        <w:tc>
          <w:tcPr>
            <w:tcW w:w="1084" w:type="dxa"/>
          </w:tcPr>
          <w:p>
            <w:pPr>
              <w:pStyle w:val="TableParagraph"/>
              <w:spacing w:line="249" w:lineRule="exact"/>
              <w:ind w:left="50"/>
              <w:rPr>
                <w:sz w:val="22"/>
              </w:rPr>
            </w:pPr>
            <w:r>
              <w:rPr>
                <w:spacing w:val="-2"/>
                <w:sz w:val="22"/>
              </w:rPr>
              <w:t>USEPA</w:t>
            </w:r>
          </w:p>
        </w:tc>
        <w:tc>
          <w:tcPr>
            <w:tcW w:w="4725" w:type="dxa"/>
          </w:tcPr>
          <w:p>
            <w:pPr>
              <w:pStyle w:val="TableParagraph"/>
              <w:spacing w:line="249" w:lineRule="exact"/>
              <w:ind w:left="319"/>
              <w:rPr>
                <w:sz w:val="22"/>
              </w:rPr>
            </w:pPr>
            <w:r>
              <w:rPr>
                <w:sz w:val="22"/>
              </w:rPr>
              <w:t>United</w:t>
            </w:r>
            <w:r>
              <w:rPr>
                <w:spacing w:val="19"/>
                <w:sz w:val="22"/>
              </w:rPr>
              <w:t> </w:t>
            </w:r>
            <w:r>
              <w:rPr>
                <w:sz w:val="22"/>
              </w:rPr>
              <w:t>States</w:t>
            </w:r>
            <w:r>
              <w:rPr>
                <w:spacing w:val="15"/>
                <w:sz w:val="22"/>
              </w:rPr>
              <w:t> </w:t>
            </w:r>
            <w:r>
              <w:rPr>
                <w:sz w:val="22"/>
              </w:rPr>
              <w:t>Environmental</w:t>
            </w:r>
            <w:r>
              <w:rPr>
                <w:spacing w:val="16"/>
                <w:sz w:val="22"/>
              </w:rPr>
              <w:t> </w:t>
            </w:r>
            <w:r>
              <w:rPr>
                <w:sz w:val="22"/>
              </w:rPr>
              <w:t>Protection</w:t>
            </w:r>
            <w:r>
              <w:rPr>
                <w:spacing w:val="14"/>
                <w:sz w:val="22"/>
              </w:rPr>
              <w:t> </w:t>
            </w:r>
            <w:r>
              <w:rPr>
                <w:spacing w:val="-2"/>
                <w:sz w:val="22"/>
              </w:rPr>
              <w:t>Agency</w:t>
            </w:r>
          </w:p>
        </w:tc>
      </w:tr>
      <w:tr>
        <w:trPr>
          <w:trHeight w:val="518" w:hRule="atLeast"/>
        </w:trPr>
        <w:tc>
          <w:tcPr>
            <w:tcW w:w="1084" w:type="dxa"/>
          </w:tcPr>
          <w:p>
            <w:pPr>
              <w:pStyle w:val="TableParagraph"/>
              <w:spacing w:before="130"/>
              <w:ind w:left="50"/>
              <w:rPr>
                <w:sz w:val="22"/>
              </w:rPr>
            </w:pPr>
            <w:r>
              <w:rPr>
                <w:spacing w:val="-5"/>
                <w:sz w:val="22"/>
              </w:rPr>
              <w:t>Vs</w:t>
            </w:r>
          </w:p>
        </w:tc>
        <w:tc>
          <w:tcPr>
            <w:tcW w:w="4725" w:type="dxa"/>
          </w:tcPr>
          <w:p>
            <w:pPr>
              <w:pStyle w:val="TableParagraph"/>
              <w:spacing w:before="130"/>
              <w:ind w:left="319"/>
              <w:rPr>
                <w:sz w:val="22"/>
              </w:rPr>
            </w:pPr>
            <w:r>
              <w:rPr>
                <w:spacing w:val="-2"/>
                <w:sz w:val="22"/>
              </w:rPr>
              <w:t>Versus</w:t>
            </w:r>
          </w:p>
        </w:tc>
      </w:tr>
      <w:tr>
        <w:trPr>
          <w:trHeight w:val="518" w:hRule="atLeast"/>
        </w:trPr>
        <w:tc>
          <w:tcPr>
            <w:tcW w:w="1084" w:type="dxa"/>
          </w:tcPr>
          <w:p>
            <w:pPr>
              <w:pStyle w:val="TableParagraph"/>
              <w:spacing w:before="130"/>
              <w:ind w:left="50"/>
              <w:rPr>
                <w:sz w:val="22"/>
              </w:rPr>
            </w:pPr>
            <w:r>
              <w:rPr>
                <w:spacing w:val="-10"/>
                <w:sz w:val="22"/>
              </w:rPr>
              <w:t>V</w:t>
            </w:r>
          </w:p>
        </w:tc>
        <w:tc>
          <w:tcPr>
            <w:tcW w:w="4725" w:type="dxa"/>
          </w:tcPr>
          <w:p>
            <w:pPr>
              <w:pStyle w:val="TableParagraph"/>
              <w:spacing w:before="130"/>
              <w:ind w:left="319"/>
              <w:rPr>
                <w:sz w:val="22"/>
              </w:rPr>
            </w:pPr>
            <w:r>
              <w:rPr>
                <w:spacing w:val="-2"/>
                <w:sz w:val="22"/>
              </w:rPr>
              <w:t>Volts</w:t>
            </w:r>
          </w:p>
        </w:tc>
      </w:tr>
      <w:tr>
        <w:trPr>
          <w:trHeight w:val="518" w:hRule="atLeast"/>
        </w:trPr>
        <w:tc>
          <w:tcPr>
            <w:tcW w:w="1084" w:type="dxa"/>
          </w:tcPr>
          <w:p>
            <w:pPr>
              <w:pStyle w:val="TableParagraph"/>
              <w:spacing w:before="130"/>
              <w:ind w:left="50"/>
              <w:rPr>
                <w:sz w:val="22"/>
              </w:rPr>
            </w:pPr>
            <w:r>
              <w:rPr>
                <w:spacing w:val="-5"/>
                <w:sz w:val="22"/>
              </w:rPr>
              <w:t>WHO</w:t>
            </w:r>
          </w:p>
        </w:tc>
        <w:tc>
          <w:tcPr>
            <w:tcW w:w="4725" w:type="dxa"/>
          </w:tcPr>
          <w:p>
            <w:pPr>
              <w:pStyle w:val="TableParagraph"/>
              <w:spacing w:before="130"/>
              <w:ind w:left="319"/>
              <w:rPr>
                <w:sz w:val="22"/>
              </w:rPr>
            </w:pPr>
            <w:r>
              <w:rPr>
                <w:sz w:val="22"/>
              </w:rPr>
              <w:t>World</w:t>
            </w:r>
            <w:r>
              <w:rPr>
                <w:spacing w:val="11"/>
                <w:sz w:val="22"/>
              </w:rPr>
              <w:t> </w:t>
            </w:r>
            <w:r>
              <w:rPr>
                <w:sz w:val="22"/>
              </w:rPr>
              <w:t>Health</w:t>
            </w:r>
            <w:r>
              <w:rPr>
                <w:spacing w:val="7"/>
                <w:sz w:val="22"/>
              </w:rPr>
              <w:t> </w:t>
            </w:r>
            <w:r>
              <w:rPr>
                <w:spacing w:val="-2"/>
                <w:sz w:val="22"/>
              </w:rPr>
              <w:t>Organization</w:t>
            </w:r>
          </w:p>
        </w:tc>
      </w:tr>
      <w:tr>
        <w:trPr>
          <w:trHeight w:val="518" w:hRule="atLeast"/>
        </w:trPr>
        <w:tc>
          <w:tcPr>
            <w:tcW w:w="1084" w:type="dxa"/>
          </w:tcPr>
          <w:p>
            <w:pPr>
              <w:pStyle w:val="TableParagraph"/>
              <w:spacing w:before="130"/>
              <w:ind w:left="50"/>
              <w:rPr>
                <w:sz w:val="22"/>
              </w:rPr>
            </w:pPr>
            <w:r>
              <w:rPr>
                <w:spacing w:val="-10"/>
                <w:sz w:val="22"/>
              </w:rPr>
              <w:t>%</w:t>
            </w:r>
          </w:p>
        </w:tc>
        <w:tc>
          <w:tcPr>
            <w:tcW w:w="4725" w:type="dxa"/>
          </w:tcPr>
          <w:p>
            <w:pPr>
              <w:pStyle w:val="TableParagraph"/>
              <w:spacing w:before="130"/>
              <w:ind w:left="319"/>
              <w:rPr>
                <w:sz w:val="22"/>
              </w:rPr>
            </w:pPr>
            <w:r>
              <w:rPr>
                <w:spacing w:val="-2"/>
                <w:sz w:val="22"/>
              </w:rPr>
              <w:t>Percentage</w:t>
            </w:r>
          </w:p>
        </w:tc>
      </w:tr>
      <w:tr>
        <w:trPr>
          <w:trHeight w:val="518" w:hRule="atLeast"/>
        </w:trPr>
        <w:tc>
          <w:tcPr>
            <w:tcW w:w="1084" w:type="dxa"/>
          </w:tcPr>
          <w:p>
            <w:pPr>
              <w:pStyle w:val="TableParagraph"/>
              <w:spacing w:before="130"/>
              <w:ind w:left="50"/>
              <w:rPr>
                <w:sz w:val="22"/>
              </w:rPr>
            </w:pPr>
            <w:r>
              <w:rPr>
                <w:spacing w:val="-10"/>
                <w:sz w:val="22"/>
              </w:rPr>
              <w:t>&gt;</w:t>
            </w:r>
          </w:p>
        </w:tc>
        <w:tc>
          <w:tcPr>
            <w:tcW w:w="4725" w:type="dxa"/>
          </w:tcPr>
          <w:p>
            <w:pPr>
              <w:pStyle w:val="TableParagraph"/>
              <w:spacing w:before="130"/>
              <w:ind w:left="319"/>
              <w:rPr>
                <w:sz w:val="22"/>
              </w:rPr>
            </w:pPr>
            <w:r>
              <w:rPr>
                <w:sz w:val="22"/>
              </w:rPr>
              <w:t>Greater</w:t>
            </w:r>
            <w:r>
              <w:rPr>
                <w:spacing w:val="14"/>
                <w:sz w:val="22"/>
              </w:rPr>
              <w:t> </w:t>
            </w:r>
            <w:r>
              <w:rPr>
                <w:spacing w:val="-4"/>
                <w:sz w:val="22"/>
              </w:rPr>
              <w:t>than</w:t>
            </w:r>
          </w:p>
        </w:tc>
      </w:tr>
      <w:tr>
        <w:trPr>
          <w:trHeight w:val="518" w:hRule="atLeast"/>
        </w:trPr>
        <w:tc>
          <w:tcPr>
            <w:tcW w:w="1084" w:type="dxa"/>
          </w:tcPr>
          <w:p>
            <w:pPr>
              <w:pStyle w:val="TableParagraph"/>
              <w:spacing w:before="130"/>
              <w:ind w:left="50"/>
              <w:rPr>
                <w:sz w:val="22"/>
              </w:rPr>
            </w:pPr>
            <w:r>
              <w:rPr>
                <w:spacing w:val="-10"/>
                <w:sz w:val="22"/>
              </w:rPr>
              <w:t>&lt;</w:t>
            </w:r>
          </w:p>
        </w:tc>
        <w:tc>
          <w:tcPr>
            <w:tcW w:w="4725" w:type="dxa"/>
          </w:tcPr>
          <w:p>
            <w:pPr>
              <w:pStyle w:val="TableParagraph"/>
              <w:spacing w:before="130"/>
              <w:ind w:left="319"/>
              <w:rPr>
                <w:sz w:val="22"/>
              </w:rPr>
            </w:pPr>
            <w:r>
              <w:rPr>
                <w:sz w:val="22"/>
              </w:rPr>
              <w:t>Less</w:t>
            </w:r>
            <w:r>
              <w:rPr>
                <w:spacing w:val="8"/>
                <w:sz w:val="22"/>
              </w:rPr>
              <w:t> </w:t>
            </w:r>
            <w:r>
              <w:rPr>
                <w:spacing w:val="-4"/>
                <w:sz w:val="22"/>
              </w:rPr>
              <w:t>than</w:t>
            </w:r>
          </w:p>
        </w:tc>
      </w:tr>
      <w:tr>
        <w:trPr>
          <w:trHeight w:val="384" w:hRule="atLeast"/>
        </w:trPr>
        <w:tc>
          <w:tcPr>
            <w:tcW w:w="1084" w:type="dxa"/>
          </w:tcPr>
          <w:p>
            <w:pPr>
              <w:pStyle w:val="TableParagraph"/>
              <w:spacing w:line="234" w:lineRule="exact" w:before="130"/>
              <w:ind w:left="50"/>
              <w:rPr>
                <w:sz w:val="22"/>
              </w:rPr>
            </w:pPr>
            <w:r>
              <w:rPr>
                <w:spacing w:val="-10"/>
                <w:sz w:val="22"/>
              </w:rPr>
              <w:t>±</w:t>
            </w:r>
          </w:p>
        </w:tc>
        <w:tc>
          <w:tcPr>
            <w:tcW w:w="4725" w:type="dxa"/>
          </w:tcPr>
          <w:p>
            <w:pPr>
              <w:pStyle w:val="TableParagraph"/>
              <w:spacing w:line="234" w:lineRule="exact" w:before="130"/>
              <w:ind w:left="319"/>
              <w:rPr>
                <w:sz w:val="22"/>
              </w:rPr>
            </w:pPr>
            <w:r>
              <w:rPr>
                <w:sz w:val="22"/>
              </w:rPr>
              <w:t>Plus</w:t>
            </w:r>
            <w:r>
              <w:rPr>
                <w:spacing w:val="8"/>
                <w:sz w:val="22"/>
              </w:rPr>
              <w:t> </w:t>
            </w:r>
            <w:r>
              <w:rPr>
                <w:sz w:val="22"/>
              </w:rPr>
              <w:t>or</w:t>
            </w:r>
            <w:r>
              <w:rPr>
                <w:spacing w:val="6"/>
                <w:sz w:val="22"/>
              </w:rPr>
              <w:t> </w:t>
            </w:r>
            <w:r>
              <w:rPr>
                <w:spacing w:val="-2"/>
                <w:sz w:val="22"/>
              </w:rPr>
              <w:t>Minus</w:t>
            </w:r>
          </w:p>
        </w:tc>
      </w:tr>
    </w:tbl>
    <w:p>
      <w:pPr>
        <w:spacing w:after="0" w:line="234" w:lineRule="exact"/>
        <w:rPr>
          <w:sz w:val="22"/>
        </w:rPr>
        <w:sectPr>
          <w:pgSz w:w="12240" w:h="15840"/>
          <w:pgMar w:header="0" w:footer="916" w:top="1320" w:bottom="1100" w:left="1720" w:right="960"/>
        </w:sectPr>
      </w:pPr>
    </w:p>
    <w:p>
      <w:pPr>
        <w:pStyle w:val="Heading1"/>
      </w:pPr>
      <w:bookmarkStart w:name="_TOC_250047" w:id="10"/>
      <w:r>
        <w:rPr/>
        <w:t>CHAPTER</w:t>
      </w:r>
      <w:r>
        <w:rPr>
          <w:spacing w:val="8"/>
        </w:rPr>
        <w:t> </w:t>
      </w:r>
      <w:bookmarkEnd w:id="10"/>
      <w:r>
        <w:rPr>
          <w:spacing w:val="-5"/>
        </w:rPr>
        <w:t>ONE</w:t>
      </w:r>
    </w:p>
    <w:p>
      <w:pPr>
        <w:pStyle w:val="BodyText"/>
        <w:rPr>
          <w:b/>
        </w:rPr>
      </w:pPr>
    </w:p>
    <w:p>
      <w:pPr>
        <w:pStyle w:val="BodyText"/>
        <w:rPr>
          <w:b/>
        </w:rPr>
      </w:pPr>
    </w:p>
    <w:p>
      <w:pPr>
        <w:pStyle w:val="BodyText"/>
        <w:spacing w:before="79"/>
        <w:rPr>
          <w:b/>
        </w:rPr>
      </w:pPr>
    </w:p>
    <w:p>
      <w:pPr>
        <w:pStyle w:val="Heading2"/>
        <w:numPr>
          <w:ilvl w:val="1"/>
          <w:numId w:val="15"/>
        </w:numPr>
        <w:tabs>
          <w:tab w:pos="1004" w:val="left" w:leader="none"/>
        </w:tabs>
        <w:spacing w:line="240" w:lineRule="auto" w:before="0" w:after="0"/>
        <w:ind w:left="1004" w:right="0" w:hanging="339"/>
        <w:jc w:val="left"/>
      </w:pPr>
      <w:bookmarkStart w:name="_TOC_250046" w:id="11"/>
      <w:bookmarkEnd w:id="11"/>
      <w:r>
        <w:rPr>
          <w:spacing w:val="-2"/>
        </w:rPr>
        <w:t>INTRODUCTION</w:t>
      </w:r>
    </w:p>
    <w:p>
      <w:pPr>
        <w:pStyle w:val="BodyText"/>
        <w:spacing w:before="7"/>
        <w:rPr>
          <w:b/>
        </w:rPr>
      </w:pPr>
    </w:p>
    <w:p>
      <w:pPr>
        <w:pStyle w:val="BodyText"/>
        <w:spacing w:line="491" w:lineRule="auto" w:before="1"/>
        <w:ind w:left="665" w:right="893"/>
        <w:jc w:val="both"/>
      </w:pPr>
      <w:r>
        <w:rPr/>
        <w:t>Human beings, animals and other living things exist and interact among themselves in a common environment. These environmental constituents are interdependent on each</w:t>
      </w:r>
      <w:r>
        <w:rPr>
          <w:spacing w:val="80"/>
        </w:rPr>
        <w:t> </w:t>
      </w:r>
      <w:r>
        <w:rPr/>
        <w:t>other, thus maintaining the natural balance of the ecosystem. As a result of over- population,</w:t>
      </w:r>
      <w:r>
        <w:rPr>
          <w:spacing w:val="40"/>
        </w:rPr>
        <w:t> </w:t>
      </w:r>
      <w:r>
        <w:rPr/>
        <w:t>rapid</w:t>
      </w:r>
      <w:r>
        <w:rPr>
          <w:spacing w:val="40"/>
        </w:rPr>
        <w:t> </w:t>
      </w:r>
      <w:r>
        <w:rPr/>
        <w:t>industrializations,</w:t>
      </w:r>
      <w:r>
        <w:rPr>
          <w:spacing w:val="40"/>
        </w:rPr>
        <w:t> </w:t>
      </w:r>
      <w:r>
        <w:rPr/>
        <w:t>and</w:t>
      </w:r>
      <w:r>
        <w:rPr>
          <w:spacing w:val="40"/>
        </w:rPr>
        <w:t> </w:t>
      </w:r>
      <w:r>
        <w:rPr/>
        <w:t>other</w:t>
      </w:r>
      <w:r>
        <w:rPr>
          <w:spacing w:val="40"/>
        </w:rPr>
        <w:t> </w:t>
      </w:r>
      <w:r>
        <w:rPr/>
        <w:t>human</w:t>
      </w:r>
      <w:r>
        <w:rPr>
          <w:spacing w:val="40"/>
        </w:rPr>
        <w:t> </w:t>
      </w:r>
      <w:r>
        <w:rPr/>
        <w:t>activities,</w:t>
      </w:r>
      <w:r>
        <w:rPr>
          <w:spacing w:val="40"/>
        </w:rPr>
        <w:t> </w:t>
      </w:r>
      <w:r>
        <w:rPr/>
        <w:t>earth</w:t>
      </w:r>
      <w:r>
        <w:rPr>
          <w:spacing w:val="40"/>
        </w:rPr>
        <w:t> </w:t>
      </w:r>
      <w:r>
        <w:rPr/>
        <w:t>became</w:t>
      </w:r>
      <w:r>
        <w:rPr>
          <w:spacing w:val="40"/>
        </w:rPr>
        <w:t> </w:t>
      </w:r>
      <w:r>
        <w:rPr/>
        <w:t>loaded with diverse pollutants that were released into the environment, giving rise to pollution. Environmental pollution can be defined as the undesirable change in physical, chemical and</w:t>
      </w:r>
      <w:r>
        <w:rPr>
          <w:spacing w:val="40"/>
        </w:rPr>
        <w:t> </w:t>
      </w:r>
      <w:r>
        <w:rPr/>
        <w:t>biological</w:t>
      </w:r>
      <w:r>
        <w:rPr>
          <w:spacing w:val="26"/>
        </w:rPr>
        <w:t> </w:t>
      </w:r>
      <w:r>
        <w:rPr/>
        <w:t>characteristics</w:t>
      </w:r>
      <w:r>
        <w:rPr>
          <w:spacing w:val="31"/>
        </w:rPr>
        <w:t> </w:t>
      </w:r>
      <w:r>
        <w:rPr/>
        <w:t>of</w:t>
      </w:r>
      <w:r>
        <w:rPr>
          <w:spacing w:val="28"/>
        </w:rPr>
        <w:t> </w:t>
      </w:r>
      <w:r>
        <w:rPr/>
        <w:t>air,</w:t>
      </w:r>
      <w:r>
        <w:rPr>
          <w:spacing w:val="33"/>
        </w:rPr>
        <w:t> </w:t>
      </w:r>
      <w:r>
        <w:rPr/>
        <w:t>land</w:t>
      </w:r>
      <w:r>
        <w:rPr>
          <w:spacing w:val="35"/>
        </w:rPr>
        <w:t> </w:t>
      </w:r>
      <w:r>
        <w:rPr/>
        <w:t>and</w:t>
      </w:r>
      <w:r>
        <w:rPr>
          <w:spacing w:val="40"/>
        </w:rPr>
        <w:t> </w:t>
      </w:r>
      <w:r>
        <w:rPr/>
        <w:t>water</w:t>
      </w:r>
      <w:r>
        <w:rPr>
          <w:spacing w:val="35"/>
        </w:rPr>
        <w:t> </w:t>
      </w:r>
      <w:r>
        <w:rPr/>
        <w:t>(Partha,</w:t>
      </w:r>
      <w:r>
        <w:rPr>
          <w:spacing w:val="27"/>
        </w:rPr>
        <w:t> </w:t>
      </w:r>
      <w:r>
        <w:rPr/>
        <w:t>2009).</w:t>
      </w:r>
      <w:r>
        <w:rPr>
          <w:spacing w:val="28"/>
        </w:rPr>
        <w:t> </w:t>
      </w:r>
      <w:r>
        <w:rPr/>
        <w:t>Significant</w:t>
      </w:r>
      <w:r>
        <w:rPr>
          <w:spacing w:val="32"/>
        </w:rPr>
        <w:t> </w:t>
      </w:r>
      <w:r>
        <w:rPr/>
        <w:t>sources of air pollution in urban areas, towns and cities of the developing countries like Nigeria may include but are not limited to emissions from motor vehicles (Mayer, 1999) and generator exhaust (Stanley </w:t>
      </w:r>
      <w:r>
        <w:rPr>
          <w:i/>
        </w:rPr>
        <w:t>et al</w:t>
      </w:r>
      <w:r>
        <w:rPr/>
        <w:t>., 2010). Environmental characteristics such as</w:t>
      </w:r>
      <w:r>
        <w:rPr>
          <w:spacing w:val="40"/>
        </w:rPr>
        <w:t> </w:t>
      </w:r>
      <w:r>
        <w:rPr/>
        <w:t>topography, altitude, and anthropogenic activity such as traffic, industrial effluents and proximity to sources of pollution, have considerable influence on the abundance,</w:t>
      </w:r>
      <w:r>
        <w:rPr>
          <w:spacing w:val="80"/>
        </w:rPr>
        <w:t> </w:t>
      </w:r>
      <w:r>
        <w:rPr/>
        <w:t>residence time and retention of tropical trace gases over an area (Stanley </w:t>
      </w:r>
      <w:r>
        <w:rPr>
          <w:i/>
        </w:rPr>
        <w:t>et al</w:t>
      </w:r>
      <w:r>
        <w:rPr/>
        <w:t>., 2010). Criteria air contaminants (CAC), or criteria pollutants, are set of air pollutants that cause smog,</w:t>
      </w:r>
      <w:r>
        <w:rPr>
          <w:spacing w:val="37"/>
        </w:rPr>
        <w:t> </w:t>
      </w:r>
      <w:r>
        <w:rPr/>
        <w:t>acid</w:t>
      </w:r>
      <w:r>
        <w:rPr>
          <w:spacing w:val="40"/>
        </w:rPr>
        <w:t> </w:t>
      </w:r>
      <w:r>
        <w:rPr/>
        <w:t>rain and</w:t>
      </w:r>
      <w:r>
        <w:rPr>
          <w:spacing w:val="40"/>
        </w:rPr>
        <w:t> </w:t>
      </w:r>
      <w:r>
        <w:rPr/>
        <w:t>other</w:t>
      </w:r>
      <w:r>
        <w:rPr>
          <w:spacing w:val="38"/>
        </w:rPr>
        <w:t> </w:t>
      </w:r>
      <w:r>
        <w:rPr/>
        <w:t>health hazards.</w:t>
      </w:r>
      <w:r>
        <w:rPr>
          <w:spacing w:val="39"/>
        </w:rPr>
        <w:t> </w:t>
      </w:r>
      <w:r>
        <w:rPr/>
        <w:t>History of CO</w:t>
      </w:r>
      <w:r>
        <w:rPr>
          <w:spacing w:val="37"/>
        </w:rPr>
        <w:t> </w:t>
      </w:r>
      <w:r>
        <w:rPr/>
        <w:t>as</w:t>
      </w:r>
      <w:r>
        <w:rPr>
          <w:spacing w:val="35"/>
        </w:rPr>
        <w:t> </w:t>
      </w:r>
      <w:r>
        <w:rPr/>
        <w:t>a criterion pollutant</w:t>
      </w:r>
      <w:r>
        <w:rPr>
          <w:spacing w:val="36"/>
        </w:rPr>
        <w:t> </w:t>
      </w:r>
      <w:r>
        <w:rPr/>
        <w:t>dated back</w:t>
      </w:r>
      <w:r>
        <w:rPr>
          <w:spacing w:val="37"/>
        </w:rPr>
        <w:t> </w:t>
      </w:r>
      <w:r>
        <w:rPr/>
        <w:t>to</w:t>
      </w:r>
      <w:r>
        <w:rPr>
          <w:spacing w:val="40"/>
        </w:rPr>
        <w:t> </w:t>
      </w:r>
      <w:r>
        <w:rPr/>
        <w:t>1971</w:t>
      </w:r>
      <w:r>
        <w:rPr>
          <w:spacing w:val="40"/>
        </w:rPr>
        <w:t> </w:t>
      </w:r>
      <w:r>
        <w:rPr/>
        <w:t>when</w:t>
      </w:r>
      <w:r>
        <w:rPr>
          <w:spacing w:val="37"/>
        </w:rPr>
        <w:t> </w:t>
      </w:r>
      <w:r>
        <w:rPr/>
        <w:t>the</w:t>
      </w:r>
      <w:r>
        <w:rPr>
          <w:spacing w:val="40"/>
        </w:rPr>
        <w:t> </w:t>
      </w:r>
      <w:r>
        <w:rPr/>
        <w:t>United</w:t>
      </w:r>
      <w:r>
        <w:rPr>
          <w:spacing w:val="40"/>
        </w:rPr>
        <w:t> </w:t>
      </w:r>
      <w:r>
        <w:rPr/>
        <w:t>States</w:t>
      </w:r>
      <w:r>
        <w:rPr>
          <w:spacing w:val="40"/>
        </w:rPr>
        <w:t> </w:t>
      </w:r>
      <w:r>
        <w:rPr/>
        <w:t>Environmental</w:t>
      </w:r>
      <w:r>
        <w:rPr>
          <w:spacing w:val="40"/>
        </w:rPr>
        <w:t> </w:t>
      </w:r>
      <w:r>
        <w:rPr/>
        <w:t>Protection</w:t>
      </w:r>
      <w:r>
        <w:rPr>
          <w:spacing w:val="37"/>
        </w:rPr>
        <w:t> </w:t>
      </w:r>
      <w:r>
        <w:rPr/>
        <w:t>Agency</w:t>
      </w:r>
      <w:r>
        <w:rPr>
          <w:spacing w:val="37"/>
        </w:rPr>
        <w:t> </w:t>
      </w:r>
      <w:r>
        <w:rPr/>
        <w:t>(USEPA)</w:t>
      </w:r>
      <w:r>
        <w:rPr>
          <w:spacing w:val="40"/>
        </w:rPr>
        <w:t> </w:t>
      </w:r>
      <w:r>
        <w:rPr/>
        <w:t>set the first national ambient air quality standards (NAAQS) for CO. In Nigeria, CO was identified as CAC after the formation of Federal Environmental Protection Agency (FEPA) in 1992 and Nigerian Ambient Air Quality standards was set (Table 1 and 2). Carbon monoxide became a major air pollutant</w:t>
      </w:r>
    </w:p>
    <w:p>
      <w:pPr>
        <w:spacing w:after="0" w:line="491" w:lineRule="auto"/>
        <w:jc w:val="both"/>
        <w:sectPr>
          <w:pgSz w:w="12240" w:h="15840"/>
          <w:pgMar w:header="0" w:footer="916" w:top="1260" w:bottom="1100" w:left="1720" w:right="960"/>
        </w:sectPr>
      </w:pPr>
    </w:p>
    <w:p>
      <w:pPr>
        <w:pStyle w:val="Heading3"/>
        <w:spacing w:before="80"/>
      </w:pPr>
      <w:r>
        <w:rPr/>
        <w:t>Table</w:t>
      </w:r>
      <w:r>
        <w:rPr>
          <w:spacing w:val="8"/>
        </w:rPr>
        <w:t> </w:t>
      </w:r>
      <w:r>
        <w:rPr/>
        <w:t>1.1:</w:t>
      </w:r>
      <w:r>
        <w:rPr>
          <w:spacing w:val="17"/>
        </w:rPr>
        <w:t> </w:t>
      </w:r>
      <w:r>
        <w:rPr/>
        <w:t>Nigerian</w:t>
      </w:r>
      <w:r>
        <w:rPr>
          <w:spacing w:val="13"/>
        </w:rPr>
        <w:t> </w:t>
      </w:r>
      <w:r>
        <w:rPr/>
        <w:t>ambient</w:t>
      </w:r>
      <w:r>
        <w:rPr>
          <w:spacing w:val="4"/>
        </w:rPr>
        <w:t> </w:t>
      </w:r>
      <w:r>
        <w:rPr/>
        <w:t>air</w:t>
      </w:r>
      <w:r>
        <w:rPr>
          <w:spacing w:val="15"/>
        </w:rPr>
        <w:t> </w:t>
      </w:r>
      <w:r>
        <w:rPr/>
        <w:t>quality</w:t>
      </w:r>
      <w:r>
        <w:rPr>
          <w:spacing w:val="11"/>
        </w:rPr>
        <w:t> </w:t>
      </w:r>
      <w:r>
        <w:rPr>
          <w:spacing w:val="-2"/>
        </w:rPr>
        <w:t>standards</w:t>
      </w:r>
    </w:p>
    <w:p>
      <w:pPr>
        <w:pStyle w:val="BodyText"/>
        <w:spacing w:before="193"/>
        <w:rPr>
          <w:b/>
          <w:sz w:val="20"/>
        </w:rPr>
      </w:pPr>
      <w:r>
        <w:rPr/>
        <w:drawing>
          <wp:anchor distT="0" distB="0" distL="0" distR="0" allowOverlap="1" layoutInCell="1" locked="0" behindDoc="1" simplePos="0" relativeHeight="487587840">
            <wp:simplePos x="0" y="0"/>
            <wp:positionH relativeFrom="page">
              <wp:posOffset>1517903</wp:posOffset>
            </wp:positionH>
            <wp:positionV relativeFrom="paragraph">
              <wp:posOffset>283858</wp:posOffset>
            </wp:positionV>
            <wp:extent cx="5580888" cy="2215896"/>
            <wp:effectExtent l="0" t="0" r="0" b="0"/>
            <wp:wrapTopAndBottom/>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5580888" cy="2215896"/>
                    </a:xfrm>
                    <a:prstGeom prst="rect">
                      <a:avLst/>
                    </a:prstGeom>
                  </pic:spPr>
                </pic:pic>
              </a:graphicData>
            </a:graphic>
          </wp:anchor>
        </w:drawing>
      </w:r>
    </w:p>
    <w:p>
      <w:pPr>
        <w:spacing w:after="0"/>
        <w:rPr>
          <w:sz w:val="20"/>
        </w:rPr>
        <w:sectPr>
          <w:pgSz w:w="12240" w:h="15840"/>
          <w:pgMar w:header="0" w:footer="916" w:top="1260" w:bottom="1100" w:left="1720" w:right="960"/>
        </w:sectPr>
      </w:pPr>
    </w:p>
    <w:p>
      <w:pPr>
        <w:spacing w:line="491" w:lineRule="auto" w:before="80"/>
        <w:ind w:left="665" w:right="896" w:firstLine="0"/>
        <w:jc w:val="left"/>
        <w:rPr>
          <w:b/>
          <w:sz w:val="22"/>
        </w:rPr>
      </w:pPr>
      <w:r>
        <w:rPr>
          <w:b/>
          <w:sz w:val="22"/>
        </w:rPr>
        <w:t>Table</w:t>
      </w:r>
      <w:r>
        <w:rPr>
          <w:b/>
          <w:spacing w:val="80"/>
          <w:sz w:val="22"/>
        </w:rPr>
        <w:t> </w:t>
      </w:r>
      <w:r>
        <w:rPr>
          <w:b/>
          <w:sz w:val="22"/>
        </w:rPr>
        <w:t>1.2:</w:t>
      </w:r>
      <w:r>
        <w:rPr>
          <w:b/>
          <w:spacing w:val="80"/>
          <w:sz w:val="22"/>
        </w:rPr>
        <w:t> </w:t>
      </w:r>
      <w:r>
        <w:rPr>
          <w:b/>
          <w:sz w:val="22"/>
        </w:rPr>
        <w:t>Nigerian</w:t>
      </w:r>
      <w:r>
        <w:rPr>
          <w:b/>
          <w:spacing w:val="80"/>
          <w:sz w:val="22"/>
        </w:rPr>
        <w:t> </w:t>
      </w:r>
      <w:r>
        <w:rPr>
          <w:b/>
          <w:sz w:val="22"/>
        </w:rPr>
        <w:t>ambient</w:t>
      </w:r>
      <w:r>
        <w:rPr>
          <w:b/>
          <w:spacing w:val="80"/>
          <w:sz w:val="22"/>
        </w:rPr>
        <w:t> </w:t>
      </w:r>
      <w:r>
        <w:rPr>
          <w:b/>
          <w:sz w:val="22"/>
        </w:rPr>
        <w:t>air</w:t>
      </w:r>
      <w:r>
        <w:rPr>
          <w:b/>
          <w:spacing w:val="80"/>
          <w:sz w:val="22"/>
        </w:rPr>
        <w:t> </w:t>
      </w:r>
      <w:r>
        <w:rPr>
          <w:b/>
          <w:sz w:val="22"/>
        </w:rPr>
        <w:t>tolerance</w:t>
      </w:r>
      <w:r>
        <w:rPr>
          <w:b/>
          <w:spacing w:val="80"/>
          <w:sz w:val="22"/>
        </w:rPr>
        <w:t> </w:t>
      </w:r>
      <w:r>
        <w:rPr>
          <w:b/>
          <w:sz w:val="22"/>
        </w:rPr>
        <w:t>limits,</w:t>
      </w:r>
      <w:r>
        <w:rPr>
          <w:b/>
          <w:spacing w:val="80"/>
          <w:sz w:val="22"/>
        </w:rPr>
        <w:t> </w:t>
      </w:r>
      <w:r>
        <w:rPr>
          <w:b/>
          <w:sz w:val="22"/>
        </w:rPr>
        <w:t>guidelines</w:t>
      </w:r>
      <w:r>
        <w:rPr>
          <w:b/>
          <w:spacing w:val="80"/>
          <w:sz w:val="22"/>
        </w:rPr>
        <w:t> </w:t>
      </w:r>
      <w:r>
        <w:rPr>
          <w:b/>
          <w:sz w:val="22"/>
        </w:rPr>
        <w:t>for</w:t>
      </w:r>
      <w:r>
        <w:rPr>
          <w:b/>
          <w:spacing w:val="80"/>
          <w:sz w:val="22"/>
        </w:rPr>
        <w:t> </w:t>
      </w:r>
      <w:r>
        <w:rPr>
          <w:b/>
          <w:sz w:val="22"/>
        </w:rPr>
        <w:t>convectional </w:t>
      </w:r>
      <w:r>
        <w:rPr>
          <w:b/>
          <w:spacing w:val="-2"/>
          <w:sz w:val="22"/>
        </w:rPr>
        <w:t>pollutants</w:t>
      </w:r>
    </w:p>
    <w:p>
      <w:pPr>
        <w:pStyle w:val="BodyText"/>
        <w:spacing w:before="7"/>
        <w:rPr>
          <w:b/>
          <w:sz w:val="13"/>
        </w:rPr>
      </w:pPr>
      <w:r>
        <w:rPr/>
        <w:drawing>
          <wp:anchor distT="0" distB="0" distL="0" distR="0" allowOverlap="1" layoutInCell="1" locked="0" behindDoc="1" simplePos="0" relativeHeight="487588352">
            <wp:simplePos x="0" y="0"/>
            <wp:positionH relativeFrom="page">
              <wp:posOffset>1517903</wp:posOffset>
            </wp:positionH>
            <wp:positionV relativeFrom="paragraph">
              <wp:posOffset>115054</wp:posOffset>
            </wp:positionV>
            <wp:extent cx="5403532" cy="2763774"/>
            <wp:effectExtent l="0" t="0" r="0" b="0"/>
            <wp:wrapTopAndBottom/>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5403532" cy="2763774"/>
                    </a:xfrm>
                    <a:prstGeom prst="rect">
                      <a:avLst/>
                    </a:prstGeom>
                  </pic:spPr>
                </pic:pic>
              </a:graphicData>
            </a:graphic>
          </wp:anchor>
        </w:drawing>
      </w:r>
    </w:p>
    <w:p>
      <w:pPr>
        <w:spacing w:after="0"/>
        <w:rPr>
          <w:sz w:val="13"/>
        </w:rPr>
        <w:sectPr>
          <w:pgSz w:w="12240" w:h="15840"/>
          <w:pgMar w:header="0" w:footer="916" w:top="1260" w:bottom="1100" w:left="1720" w:right="960"/>
        </w:sectPr>
      </w:pPr>
    </w:p>
    <w:p>
      <w:pPr>
        <w:pStyle w:val="BodyText"/>
        <w:spacing w:line="491" w:lineRule="auto" w:before="75"/>
        <w:ind w:left="665" w:right="895"/>
        <w:jc w:val="both"/>
      </w:pPr>
      <w:r>
        <w:rPr/>
        <w:t>both indoors (Ayodele, 2007) and</w:t>
      </w:r>
      <w:r>
        <w:rPr>
          <w:spacing w:val="21"/>
        </w:rPr>
        <w:t> </w:t>
      </w:r>
      <w:r>
        <w:rPr/>
        <w:t>outdoors (Ajayi </w:t>
      </w:r>
      <w:r>
        <w:rPr>
          <w:i/>
        </w:rPr>
        <w:t>et al</w:t>
      </w:r>
      <w:r>
        <w:rPr/>
        <w:t>., 2002) because of increased</w:t>
      </w:r>
      <w:r>
        <w:rPr>
          <w:spacing w:val="21"/>
        </w:rPr>
        <w:t> </w:t>
      </w:r>
      <w:r>
        <w:rPr/>
        <w:t>use</w:t>
      </w:r>
      <w:r>
        <w:rPr>
          <w:spacing w:val="40"/>
        </w:rPr>
        <w:t> </w:t>
      </w:r>
      <w:r>
        <w:rPr/>
        <w:t>of bio fuel as a major source of energy for cooking, electricity generation and transportation.</w:t>
      </w:r>
      <w:r>
        <w:rPr>
          <w:spacing w:val="40"/>
        </w:rPr>
        <w:t> </w:t>
      </w:r>
      <w:r>
        <w:rPr/>
        <w:t>In addition 80% of carbon monoxide and 40% of the nitrogen oxides are produced</w:t>
      </w:r>
      <w:r>
        <w:rPr>
          <w:spacing w:val="40"/>
        </w:rPr>
        <w:t> </w:t>
      </w:r>
      <w:r>
        <w:rPr/>
        <w:t>when</w:t>
      </w:r>
      <w:r>
        <w:rPr>
          <w:spacing w:val="40"/>
        </w:rPr>
        <w:t> </w:t>
      </w:r>
      <w:r>
        <w:rPr/>
        <w:t>gasoline</w:t>
      </w:r>
      <w:r>
        <w:rPr>
          <w:spacing w:val="40"/>
        </w:rPr>
        <w:t> </w:t>
      </w:r>
      <w:r>
        <w:rPr/>
        <w:t>and</w:t>
      </w:r>
      <w:r>
        <w:rPr>
          <w:spacing w:val="40"/>
        </w:rPr>
        <w:t> </w:t>
      </w:r>
      <w:r>
        <w:rPr/>
        <w:t>diesel fuels</w:t>
      </w:r>
      <w:r>
        <w:rPr>
          <w:spacing w:val="40"/>
        </w:rPr>
        <w:t> </w:t>
      </w:r>
      <w:r>
        <w:rPr/>
        <w:t>were burnt</w:t>
      </w:r>
      <w:r>
        <w:rPr>
          <w:spacing w:val="40"/>
        </w:rPr>
        <w:t> </w:t>
      </w:r>
      <w:r>
        <w:rPr/>
        <w:t>(Ajayi</w:t>
      </w:r>
      <w:r>
        <w:rPr>
          <w:spacing w:val="40"/>
        </w:rPr>
        <w:t> </w:t>
      </w:r>
      <w:r>
        <w:rPr>
          <w:i/>
        </w:rPr>
        <w:t>et</w:t>
      </w:r>
      <w:r>
        <w:rPr>
          <w:i/>
          <w:spacing w:val="40"/>
        </w:rPr>
        <w:t> </w:t>
      </w:r>
      <w:r>
        <w:rPr>
          <w:i/>
        </w:rPr>
        <w:t>al.</w:t>
      </w:r>
      <w:r>
        <w:rPr/>
        <w:t>,</w:t>
      </w:r>
      <w:r>
        <w:rPr>
          <w:spacing w:val="40"/>
        </w:rPr>
        <w:t> </w:t>
      </w:r>
      <w:r>
        <w:rPr/>
        <w:t>2002)</w:t>
      </w:r>
      <w:r>
        <w:rPr>
          <w:spacing w:val="40"/>
        </w:rPr>
        <w:t> </w:t>
      </w:r>
      <w:r>
        <w:rPr/>
        <w:t>and</w:t>
      </w:r>
      <w:r>
        <w:rPr>
          <w:spacing w:val="40"/>
        </w:rPr>
        <w:t> </w:t>
      </w:r>
      <w:r>
        <w:rPr/>
        <w:t>Petrol creates 28 times more CO than diesel (Campbell, 2009). The air we breathe should normally contain 21% oxygen, 78% nitrogen and 1% trace amounts of rare gases (Augustine, 2012). Air pollution introduces abnormal gases like nitrogen oxides (NO2), sulphur oxides (SO2), carbon monoxide (CO),</w:t>
      </w:r>
      <w:r>
        <w:rPr>
          <w:spacing w:val="39"/>
        </w:rPr>
        <w:t> </w:t>
      </w:r>
      <w:r>
        <w:rPr/>
        <w:t>particulate matter</w:t>
      </w:r>
      <w:r>
        <w:rPr>
          <w:spacing w:val="38"/>
        </w:rPr>
        <w:t> </w:t>
      </w:r>
      <w:r>
        <w:rPr/>
        <w:t>(PM), and</w:t>
      </w:r>
      <w:r>
        <w:rPr>
          <w:spacing w:val="39"/>
        </w:rPr>
        <w:t> </w:t>
      </w:r>
      <w:r>
        <w:rPr/>
        <w:t>Lead</w:t>
      </w:r>
      <w:r>
        <w:rPr>
          <w:spacing w:val="39"/>
        </w:rPr>
        <w:t> </w:t>
      </w:r>
      <w:r>
        <w:rPr/>
        <w:t>(Pb) into</w:t>
      </w:r>
      <w:r>
        <w:rPr>
          <w:spacing w:val="40"/>
        </w:rPr>
        <w:t> </w:t>
      </w:r>
      <w:r>
        <w:rPr/>
        <w:t>the</w:t>
      </w:r>
      <w:r>
        <w:rPr>
          <w:spacing w:val="40"/>
        </w:rPr>
        <w:t> </w:t>
      </w:r>
      <w:r>
        <w:rPr/>
        <w:t>atmosphere</w:t>
      </w:r>
      <w:r>
        <w:rPr>
          <w:spacing w:val="40"/>
        </w:rPr>
        <w:t> </w:t>
      </w:r>
      <w:r>
        <w:rPr/>
        <w:t>at</w:t>
      </w:r>
      <w:r>
        <w:rPr>
          <w:spacing w:val="40"/>
        </w:rPr>
        <w:t> </w:t>
      </w:r>
      <w:r>
        <w:rPr/>
        <w:t>a</w:t>
      </w:r>
      <w:r>
        <w:rPr>
          <w:spacing w:val="40"/>
        </w:rPr>
        <w:t> </w:t>
      </w:r>
      <w:r>
        <w:rPr/>
        <w:t>much</w:t>
      </w:r>
      <w:r>
        <w:rPr>
          <w:spacing w:val="40"/>
        </w:rPr>
        <w:t> </w:t>
      </w:r>
      <w:r>
        <w:rPr/>
        <w:t>higher</w:t>
      </w:r>
      <w:r>
        <w:rPr>
          <w:spacing w:val="40"/>
        </w:rPr>
        <w:t> </w:t>
      </w:r>
      <w:r>
        <w:rPr/>
        <w:t>concentration</w:t>
      </w:r>
      <w:r>
        <w:rPr>
          <w:spacing w:val="40"/>
        </w:rPr>
        <w:t> </w:t>
      </w:r>
      <w:r>
        <w:rPr/>
        <w:t>than</w:t>
      </w:r>
      <w:r>
        <w:rPr>
          <w:spacing w:val="40"/>
        </w:rPr>
        <w:t> </w:t>
      </w:r>
      <w:r>
        <w:rPr/>
        <w:t>normal.</w:t>
      </w:r>
      <w:r>
        <w:rPr>
          <w:spacing w:val="40"/>
        </w:rPr>
        <w:t> </w:t>
      </w:r>
      <w:r>
        <w:rPr/>
        <w:t>Most</w:t>
      </w:r>
      <w:r>
        <w:rPr>
          <w:spacing w:val="40"/>
        </w:rPr>
        <w:t> </w:t>
      </w:r>
      <w:r>
        <w:rPr/>
        <w:t>of</w:t>
      </w:r>
      <w:r>
        <w:rPr>
          <w:spacing w:val="40"/>
        </w:rPr>
        <w:t> </w:t>
      </w:r>
      <w:r>
        <w:rPr/>
        <w:t>these pollutants are emitted from incomplete combustion of hydrocarbons in internal</w:t>
      </w:r>
      <w:r>
        <w:rPr>
          <w:spacing w:val="40"/>
        </w:rPr>
        <w:t> </w:t>
      </w:r>
      <w:r>
        <w:rPr/>
        <w:t>combustion engines like electric generators.</w:t>
      </w:r>
    </w:p>
    <w:p>
      <w:pPr>
        <w:pStyle w:val="BodyText"/>
      </w:pPr>
    </w:p>
    <w:p>
      <w:pPr>
        <w:pStyle w:val="BodyText"/>
      </w:pPr>
    </w:p>
    <w:p>
      <w:pPr>
        <w:pStyle w:val="BodyText"/>
        <w:spacing w:before="146"/>
      </w:pPr>
    </w:p>
    <w:p>
      <w:pPr>
        <w:pStyle w:val="Heading2"/>
        <w:numPr>
          <w:ilvl w:val="1"/>
          <w:numId w:val="15"/>
        </w:numPr>
        <w:tabs>
          <w:tab w:pos="1008" w:val="left" w:leader="none"/>
        </w:tabs>
        <w:spacing w:line="240" w:lineRule="auto" w:before="0" w:after="0"/>
        <w:ind w:left="1008" w:right="0" w:hanging="343"/>
        <w:jc w:val="left"/>
      </w:pPr>
      <w:bookmarkStart w:name="_TOC_250045" w:id="12"/>
      <w:r>
        <w:rPr/>
        <w:t>COMPONENTS</w:t>
      </w:r>
      <w:r>
        <w:rPr>
          <w:spacing w:val="11"/>
        </w:rPr>
        <w:t> </w:t>
      </w:r>
      <w:r>
        <w:rPr/>
        <w:t>OF</w:t>
      </w:r>
      <w:r>
        <w:rPr>
          <w:spacing w:val="15"/>
        </w:rPr>
        <w:t> </w:t>
      </w:r>
      <w:r>
        <w:rPr/>
        <w:t>AN</w:t>
      </w:r>
      <w:r>
        <w:rPr>
          <w:spacing w:val="12"/>
        </w:rPr>
        <w:t> </w:t>
      </w:r>
      <w:bookmarkEnd w:id="12"/>
      <w:r>
        <w:rPr>
          <w:spacing w:val="-2"/>
        </w:rPr>
        <w:t>EXHAUST</w:t>
      </w:r>
    </w:p>
    <w:p>
      <w:pPr>
        <w:pStyle w:val="BodyText"/>
        <w:spacing w:before="190"/>
        <w:rPr>
          <w:b/>
        </w:rPr>
      </w:pPr>
    </w:p>
    <w:p>
      <w:pPr>
        <w:pStyle w:val="BodyText"/>
        <w:spacing w:line="491" w:lineRule="auto"/>
        <w:ind w:left="665" w:right="898"/>
        <w:jc w:val="both"/>
      </w:pPr>
      <w:r>
        <w:rPr/>
        <w:t>Gasoline and diesel fuels are mixtures of hydrocarbon compounds which contain</w:t>
      </w:r>
      <w:r>
        <w:rPr>
          <w:spacing w:val="40"/>
        </w:rPr>
        <w:t> </w:t>
      </w:r>
      <w:r>
        <w:rPr/>
        <w:t>hydrogen</w:t>
      </w:r>
      <w:r>
        <w:rPr>
          <w:spacing w:val="25"/>
        </w:rPr>
        <w:t> </w:t>
      </w:r>
      <w:r>
        <w:rPr/>
        <w:t>and</w:t>
      </w:r>
      <w:r>
        <w:rPr>
          <w:spacing w:val="36"/>
        </w:rPr>
        <w:t> </w:t>
      </w:r>
      <w:r>
        <w:rPr/>
        <w:t>carbon atoms.</w:t>
      </w:r>
      <w:r>
        <w:rPr>
          <w:spacing w:val="34"/>
        </w:rPr>
        <w:t> </w:t>
      </w:r>
      <w:r>
        <w:rPr/>
        <w:t>In a</w:t>
      </w:r>
      <w:r>
        <w:rPr>
          <w:spacing w:val="40"/>
        </w:rPr>
        <w:t> </w:t>
      </w:r>
      <w:r>
        <w:rPr/>
        <w:t>"perfect"</w:t>
      </w:r>
      <w:r>
        <w:rPr>
          <w:spacing w:val="27"/>
        </w:rPr>
        <w:t> </w:t>
      </w:r>
      <w:r>
        <w:rPr/>
        <w:t>engine,</w:t>
      </w:r>
      <w:r>
        <w:rPr>
          <w:spacing w:val="28"/>
        </w:rPr>
        <w:t> </w:t>
      </w:r>
      <w:r>
        <w:rPr/>
        <w:t>oxygen</w:t>
      </w:r>
      <w:r>
        <w:rPr>
          <w:spacing w:val="25"/>
        </w:rPr>
        <w:t> </w:t>
      </w:r>
      <w:r>
        <w:rPr/>
        <w:t>in the</w:t>
      </w:r>
      <w:r>
        <w:rPr>
          <w:spacing w:val="28"/>
        </w:rPr>
        <w:t> </w:t>
      </w:r>
      <w:r>
        <w:rPr/>
        <w:t>air</w:t>
      </w:r>
      <w:r>
        <w:rPr>
          <w:spacing w:val="29"/>
        </w:rPr>
        <w:t> </w:t>
      </w:r>
      <w:r>
        <w:rPr/>
        <w:t>would</w:t>
      </w:r>
      <w:r>
        <w:rPr>
          <w:spacing w:val="36"/>
        </w:rPr>
        <w:t> </w:t>
      </w:r>
      <w:r>
        <w:rPr/>
        <w:t>convert</w:t>
      </w:r>
      <w:r>
        <w:rPr>
          <w:spacing w:val="27"/>
        </w:rPr>
        <w:t> </w:t>
      </w:r>
      <w:r>
        <w:rPr/>
        <w:t>all the</w:t>
      </w:r>
      <w:r>
        <w:rPr>
          <w:spacing w:val="40"/>
        </w:rPr>
        <w:t> </w:t>
      </w:r>
      <w:r>
        <w:rPr/>
        <w:t>hydrogen</w:t>
      </w:r>
      <w:r>
        <w:rPr>
          <w:spacing w:val="40"/>
        </w:rPr>
        <w:t> </w:t>
      </w:r>
      <w:r>
        <w:rPr/>
        <w:t>in the</w:t>
      </w:r>
      <w:r>
        <w:rPr>
          <w:spacing w:val="40"/>
        </w:rPr>
        <w:t> </w:t>
      </w:r>
      <w:r>
        <w:rPr/>
        <w:t>fuel</w:t>
      </w:r>
      <w:r>
        <w:rPr>
          <w:spacing w:val="40"/>
        </w:rPr>
        <w:t> </w:t>
      </w:r>
      <w:r>
        <w:rPr/>
        <w:t>to</w:t>
      </w:r>
      <w:r>
        <w:rPr>
          <w:spacing w:val="40"/>
        </w:rPr>
        <w:t> </w:t>
      </w:r>
      <w:r>
        <w:rPr/>
        <w:t>water and</w:t>
      </w:r>
      <w:r>
        <w:rPr>
          <w:spacing w:val="40"/>
        </w:rPr>
        <w:t> </w:t>
      </w:r>
      <w:r>
        <w:rPr/>
        <w:t>all</w:t>
      </w:r>
      <w:r>
        <w:rPr>
          <w:spacing w:val="40"/>
        </w:rPr>
        <w:t> </w:t>
      </w:r>
      <w:r>
        <w:rPr/>
        <w:t>the</w:t>
      </w:r>
      <w:r>
        <w:rPr>
          <w:spacing w:val="40"/>
        </w:rPr>
        <w:t> </w:t>
      </w:r>
      <w:r>
        <w:rPr/>
        <w:t>carbon in the</w:t>
      </w:r>
      <w:r>
        <w:rPr>
          <w:spacing w:val="40"/>
        </w:rPr>
        <w:t> </w:t>
      </w:r>
      <w:r>
        <w:rPr/>
        <w:t>fuel to</w:t>
      </w:r>
      <w:r>
        <w:rPr>
          <w:spacing w:val="40"/>
        </w:rPr>
        <w:t> </w:t>
      </w:r>
      <w:r>
        <w:rPr/>
        <w:t>carbon dioxide. Nitrogen</w:t>
      </w:r>
      <w:r>
        <w:rPr>
          <w:spacing w:val="40"/>
        </w:rPr>
        <w:t> </w:t>
      </w:r>
      <w:r>
        <w:rPr/>
        <w:t>in</w:t>
      </w:r>
      <w:r>
        <w:rPr>
          <w:spacing w:val="40"/>
        </w:rPr>
        <w:t> </w:t>
      </w:r>
      <w:r>
        <w:rPr/>
        <w:t>the</w:t>
      </w:r>
      <w:r>
        <w:rPr>
          <w:spacing w:val="40"/>
        </w:rPr>
        <w:t> </w:t>
      </w:r>
      <w:r>
        <w:rPr/>
        <w:t>air</w:t>
      </w:r>
      <w:r>
        <w:rPr>
          <w:spacing w:val="40"/>
        </w:rPr>
        <w:t> </w:t>
      </w:r>
      <w:r>
        <w:rPr/>
        <w:t>would</w:t>
      </w:r>
      <w:r>
        <w:rPr>
          <w:spacing w:val="40"/>
        </w:rPr>
        <w:t> </w:t>
      </w:r>
      <w:r>
        <w:rPr/>
        <w:t>remain</w:t>
      </w:r>
      <w:r>
        <w:rPr>
          <w:spacing w:val="40"/>
        </w:rPr>
        <w:t> </w:t>
      </w:r>
      <w:r>
        <w:rPr/>
        <w:t>unaffected.</w:t>
      </w:r>
      <w:r>
        <w:rPr>
          <w:spacing w:val="40"/>
        </w:rPr>
        <w:t> </w:t>
      </w:r>
      <w:r>
        <w:rPr/>
        <w:t>Although</w:t>
      </w:r>
      <w:r>
        <w:rPr>
          <w:spacing w:val="40"/>
        </w:rPr>
        <w:t> </w:t>
      </w:r>
      <w:r>
        <w:rPr/>
        <w:t>in</w:t>
      </w:r>
      <w:r>
        <w:rPr>
          <w:spacing w:val="40"/>
        </w:rPr>
        <w:t> </w:t>
      </w:r>
      <w:r>
        <w:rPr/>
        <w:t>reality,</w:t>
      </w:r>
      <w:r>
        <w:rPr>
          <w:spacing w:val="40"/>
        </w:rPr>
        <w:t> </w:t>
      </w:r>
      <w:r>
        <w:rPr/>
        <w:t>the</w:t>
      </w:r>
      <w:r>
        <w:rPr>
          <w:spacing w:val="40"/>
        </w:rPr>
        <w:t> </w:t>
      </w:r>
      <w:r>
        <w:rPr/>
        <w:t>combustion process cannot be "perfect," and automotive engines emit several types of pollutants. Typically, engine combustion results in the following:</w:t>
      </w:r>
    </w:p>
    <w:p>
      <w:pPr>
        <w:pStyle w:val="BodyText"/>
        <w:spacing w:before="4"/>
        <w:ind w:left="665"/>
        <w:jc w:val="both"/>
      </w:pPr>
      <w:r>
        <w:rPr/>
        <w:t>FUEL</w:t>
      </w:r>
      <w:r>
        <w:rPr>
          <w:spacing w:val="32"/>
        </w:rPr>
        <w:t> </w:t>
      </w:r>
      <w:r>
        <w:rPr/>
        <w:t>+</w:t>
      </w:r>
      <w:r>
        <w:rPr>
          <w:spacing w:val="40"/>
        </w:rPr>
        <w:t> </w:t>
      </w:r>
      <w:r>
        <w:rPr/>
        <w:t>AIR</w:t>
      </w:r>
      <w:r>
        <w:rPr>
          <w:spacing w:val="34"/>
        </w:rPr>
        <w:t> </w:t>
      </w:r>
      <w:r>
        <w:rPr/>
        <w:t>→</w:t>
      </w:r>
      <w:r>
        <w:rPr>
          <w:spacing w:val="42"/>
        </w:rPr>
        <w:t> </w:t>
      </w:r>
      <w:r>
        <w:rPr/>
        <w:t>UNBURNED</w:t>
      </w:r>
      <w:r>
        <w:rPr>
          <w:spacing w:val="42"/>
        </w:rPr>
        <w:t> </w:t>
      </w:r>
      <w:r>
        <w:rPr/>
        <w:t>HYDROCARBONS</w:t>
      </w:r>
      <w:r>
        <w:rPr>
          <w:spacing w:val="36"/>
        </w:rPr>
        <w:t> </w:t>
      </w:r>
      <w:r>
        <w:rPr/>
        <w:t>+</w:t>
      </w:r>
      <w:r>
        <w:rPr>
          <w:spacing w:val="39"/>
        </w:rPr>
        <w:t> </w:t>
      </w:r>
      <w:r>
        <w:rPr/>
        <w:t>NITROGEN</w:t>
      </w:r>
      <w:r>
        <w:rPr>
          <w:spacing w:val="36"/>
        </w:rPr>
        <w:t> </w:t>
      </w:r>
      <w:r>
        <w:rPr/>
        <w:t>OXIDES</w:t>
      </w:r>
      <w:r>
        <w:rPr>
          <w:spacing w:val="41"/>
        </w:rPr>
        <w:t> </w:t>
      </w:r>
      <w:r>
        <w:rPr/>
        <w:t>+</w:t>
      </w:r>
      <w:r>
        <w:rPr>
          <w:spacing w:val="39"/>
        </w:rPr>
        <w:t> </w:t>
      </w:r>
      <w:r>
        <w:rPr/>
        <w:t>CO</w:t>
      </w:r>
      <w:r>
        <w:rPr>
          <w:spacing w:val="32"/>
        </w:rPr>
        <w:t> </w:t>
      </w:r>
      <w:r>
        <w:rPr>
          <w:spacing w:val="-10"/>
        </w:rPr>
        <w:t>+</w:t>
      </w:r>
    </w:p>
    <w:p>
      <w:pPr>
        <w:pStyle w:val="BodyText"/>
        <w:spacing w:before="12"/>
      </w:pPr>
    </w:p>
    <w:p>
      <w:pPr>
        <w:pStyle w:val="BodyText"/>
        <w:ind w:left="665"/>
        <w:jc w:val="both"/>
      </w:pPr>
      <w:r>
        <w:rPr/>
        <w:t>CO</w:t>
      </w:r>
      <w:r>
        <w:rPr>
          <w:vertAlign w:val="subscript"/>
        </w:rPr>
        <w:t>2</w:t>
      </w:r>
      <w:r>
        <w:rPr>
          <w:spacing w:val="11"/>
          <w:vertAlign w:val="baseline"/>
        </w:rPr>
        <w:t> </w:t>
      </w:r>
      <w:r>
        <w:rPr>
          <w:vertAlign w:val="baseline"/>
        </w:rPr>
        <w:t>+</w:t>
      </w:r>
      <w:r>
        <w:rPr>
          <w:spacing w:val="10"/>
          <w:vertAlign w:val="baseline"/>
        </w:rPr>
        <w:t> </w:t>
      </w:r>
      <w:r>
        <w:rPr>
          <w:vertAlign w:val="baseline"/>
        </w:rPr>
        <w:t>WATER</w:t>
      </w:r>
      <w:r>
        <w:rPr>
          <w:spacing w:val="2"/>
          <w:vertAlign w:val="baseline"/>
        </w:rPr>
        <w:t> </w:t>
      </w:r>
      <w:r>
        <w:rPr>
          <w:vertAlign w:val="baseline"/>
        </w:rPr>
        <w:t>(United</w:t>
      </w:r>
      <w:r>
        <w:rPr>
          <w:spacing w:val="16"/>
          <w:vertAlign w:val="baseline"/>
        </w:rPr>
        <w:t> </w:t>
      </w:r>
      <w:r>
        <w:rPr>
          <w:vertAlign w:val="baseline"/>
        </w:rPr>
        <w:t>States</w:t>
      </w:r>
      <w:r>
        <w:rPr>
          <w:spacing w:val="7"/>
          <w:vertAlign w:val="baseline"/>
        </w:rPr>
        <w:t> </w:t>
      </w:r>
      <w:r>
        <w:rPr>
          <w:vertAlign w:val="baseline"/>
        </w:rPr>
        <w:t>Air</w:t>
      </w:r>
      <w:r>
        <w:rPr>
          <w:spacing w:val="10"/>
          <w:vertAlign w:val="baseline"/>
        </w:rPr>
        <w:t> </w:t>
      </w:r>
      <w:r>
        <w:rPr>
          <w:vertAlign w:val="baseline"/>
        </w:rPr>
        <w:t>and</w:t>
      </w:r>
      <w:r>
        <w:rPr>
          <w:spacing w:val="16"/>
          <w:vertAlign w:val="baseline"/>
        </w:rPr>
        <w:t> </w:t>
      </w:r>
      <w:r>
        <w:rPr>
          <w:vertAlign w:val="baseline"/>
        </w:rPr>
        <w:t>Radiation,</w:t>
      </w:r>
      <w:r>
        <w:rPr>
          <w:spacing w:val="15"/>
          <w:vertAlign w:val="baseline"/>
        </w:rPr>
        <w:t> </w:t>
      </w:r>
      <w:r>
        <w:rPr>
          <w:spacing w:val="-2"/>
          <w:vertAlign w:val="baseline"/>
        </w:rPr>
        <w:t>2011).</w:t>
      </w:r>
    </w:p>
    <w:p>
      <w:pPr>
        <w:pStyle w:val="BodyText"/>
        <w:spacing w:before="12"/>
      </w:pPr>
    </w:p>
    <w:p>
      <w:pPr>
        <w:pStyle w:val="BodyText"/>
        <w:spacing w:line="491" w:lineRule="auto" w:before="1"/>
        <w:ind w:left="665" w:right="904"/>
        <w:jc w:val="both"/>
      </w:pPr>
      <w:r>
        <w:rPr/>
        <w:t>The production of CO is also subject to the engine maintenance and nature of the fuel</w:t>
      </w:r>
      <w:r>
        <w:rPr>
          <w:spacing w:val="80"/>
        </w:rPr>
        <w:t> </w:t>
      </w:r>
      <w:r>
        <w:rPr/>
        <w:t>used (United States Air and Radiation, 2011). It was observed that properly maintained engines</w:t>
      </w:r>
      <w:r>
        <w:rPr>
          <w:spacing w:val="48"/>
        </w:rPr>
        <w:t> </w:t>
      </w:r>
      <w:r>
        <w:rPr/>
        <w:t>and</w:t>
      </w:r>
      <w:r>
        <w:rPr>
          <w:spacing w:val="52"/>
        </w:rPr>
        <w:t> </w:t>
      </w:r>
      <w:r>
        <w:rPr/>
        <w:t>modern</w:t>
      </w:r>
      <w:r>
        <w:rPr>
          <w:spacing w:val="42"/>
        </w:rPr>
        <w:t> </w:t>
      </w:r>
      <w:r>
        <w:rPr/>
        <w:t>vehicle</w:t>
      </w:r>
      <w:r>
        <w:rPr>
          <w:spacing w:val="46"/>
        </w:rPr>
        <w:t> </w:t>
      </w:r>
      <w:r>
        <w:rPr/>
        <w:t>engines</w:t>
      </w:r>
      <w:r>
        <w:rPr>
          <w:spacing w:val="54"/>
        </w:rPr>
        <w:t> </w:t>
      </w:r>
      <w:r>
        <w:rPr/>
        <w:t>have</w:t>
      </w:r>
      <w:r>
        <w:rPr>
          <w:spacing w:val="50"/>
        </w:rPr>
        <w:t> </w:t>
      </w:r>
      <w:r>
        <w:rPr/>
        <w:t>reduced</w:t>
      </w:r>
      <w:r>
        <w:rPr>
          <w:spacing w:val="53"/>
        </w:rPr>
        <w:t> </w:t>
      </w:r>
      <w:r>
        <w:rPr/>
        <w:t>CO</w:t>
      </w:r>
      <w:r>
        <w:rPr>
          <w:spacing w:val="40"/>
        </w:rPr>
        <w:t> </w:t>
      </w:r>
      <w:r>
        <w:rPr/>
        <w:t>production</w:t>
      </w:r>
      <w:r>
        <w:rPr>
          <w:spacing w:val="41"/>
        </w:rPr>
        <w:t> </w:t>
      </w:r>
      <w:r>
        <w:rPr/>
        <w:t>as</w:t>
      </w:r>
      <w:r>
        <w:rPr>
          <w:spacing w:val="44"/>
        </w:rPr>
        <w:t> </w:t>
      </w:r>
      <w:r>
        <w:rPr/>
        <w:t>newer</w:t>
      </w:r>
      <w:r>
        <w:rPr>
          <w:spacing w:val="52"/>
        </w:rPr>
        <w:t> </w:t>
      </w:r>
      <w:r>
        <w:rPr>
          <w:spacing w:val="-2"/>
        </w:rPr>
        <w:t>gasoline</w:t>
      </w:r>
    </w:p>
    <w:p>
      <w:pPr>
        <w:spacing w:after="0" w:line="491" w:lineRule="auto"/>
        <w:jc w:val="both"/>
        <w:sectPr>
          <w:pgSz w:w="12240" w:h="15840"/>
          <w:pgMar w:header="0" w:footer="916" w:top="1260" w:bottom="1100" w:left="1720" w:right="960"/>
        </w:sectPr>
      </w:pPr>
    </w:p>
    <w:p>
      <w:pPr>
        <w:pStyle w:val="BodyText"/>
        <w:spacing w:line="491" w:lineRule="auto" w:before="75"/>
        <w:ind w:left="665" w:right="904"/>
        <w:jc w:val="both"/>
      </w:pPr>
      <w:r>
        <w:rPr/>
        <w:t>formulations</w:t>
      </w:r>
      <w:r>
        <w:rPr>
          <w:spacing w:val="40"/>
        </w:rPr>
        <w:t> </w:t>
      </w:r>
      <w:r>
        <w:rPr/>
        <w:t>and</w:t>
      </w:r>
      <w:r>
        <w:rPr>
          <w:spacing w:val="40"/>
        </w:rPr>
        <w:t> </w:t>
      </w:r>
      <w:r>
        <w:rPr/>
        <w:t>better,</w:t>
      </w:r>
      <w:r>
        <w:rPr>
          <w:spacing w:val="40"/>
        </w:rPr>
        <w:t> </w:t>
      </w:r>
      <w:r>
        <w:rPr/>
        <w:t>more</w:t>
      </w:r>
      <w:r>
        <w:rPr>
          <w:spacing w:val="40"/>
        </w:rPr>
        <w:t> </w:t>
      </w:r>
      <w:r>
        <w:rPr/>
        <w:t>efficient</w:t>
      </w:r>
      <w:r>
        <w:rPr>
          <w:spacing w:val="40"/>
        </w:rPr>
        <w:t> </w:t>
      </w:r>
      <w:r>
        <w:rPr/>
        <w:t>exhaust</w:t>
      </w:r>
      <w:r>
        <w:rPr>
          <w:spacing w:val="40"/>
        </w:rPr>
        <w:t> </w:t>
      </w:r>
      <w:r>
        <w:rPr/>
        <w:t>emission</w:t>
      </w:r>
      <w:r>
        <w:rPr>
          <w:spacing w:val="40"/>
        </w:rPr>
        <w:t> </w:t>
      </w:r>
      <w:r>
        <w:rPr/>
        <w:t>controls</w:t>
      </w:r>
      <w:r>
        <w:rPr>
          <w:spacing w:val="40"/>
        </w:rPr>
        <w:t> </w:t>
      </w:r>
      <w:r>
        <w:rPr/>
        <w:t>are</w:t>
      </w:r>
      <w:r>
        <w:rPr>
          <w:spacing w:val="40"/>
        </w:rPr>
        <w:t> </w:t>
      </w:r>
      <w:r>
        <w:rPr/>
        <w:t>always</w:t>
      </w:r>
      <w:r>
        <w:rPr>
          <w:spacing w:val="40"/>
        </w:rPr>
        <w:t> </w:t>
      </w:r>
      <w:r>
        <w:rPr/>
        <w:t>found (Mott </w:t>
      </w:r>
      <w:r>
        <w:rPr>
          <w:i/>
        </w:rPr>
        <w:t>et al</w:t>
      </w:r>
      <w:r>
        <w:rPr/>
        <w:t>., 2002).</w:t>
      </w:r>
    </w:p>
    <w:p>
      <w:pPr>
        <w:pStyle w:val="BodyText"/>
      </w:pPr>
    </w:p>
    <w:p>
      <w:pPr>
        <w:pStyle w:val="BodyText"/>
        <w:spacing w:before="12"/>
      </w:pPr>
    </w:p>
    <w:p>
      <w:pPr>
        <w:pStyle w:val="BodyText"/>
        <w:spacing w:line="491" w:lineRule="auto"/>
        <w:ind w:left="665" w:right="896"/>
        <w:jc w:val="both"/>
      </w:pPr>
      <w:r>
        <w:rPr/>
        <w:t>Carbon monoxide (CO) is one of the most</w:t>
      </w:r>
      <w:r>
        <w:rPr>
          <w:spacing w:val="21"/>
        </w:rPr>
        <w:t> </w:t>
      </w:r>
      <w:r>
        <w:rPr/>
        <w:t>common and widely distributed</w:t>
      </w:r>
      <w:r>
        <w:rPr>
          <w:spacing w:val="23"/>
        </w:rPr>
        <w:t> </w:t>
      </w:r>
      <w:r>
        <w:rPr/>
        <w:t>air pollutants</w:t>
      </w:r>
      <w:r>
        <w:rPr>
          <w:spacing w:val="40"/>
        </w:rPr>
        <w:t> </w:t>
      </w:r>
      <w:r>
        <w:rPr/>
        <w:t>in the world. It is a colourless, odourless, and tasteless gas with poor solubility in water and a slightly lower density than air (United States AQC, 2000). Carbon monoxide was known since ancient times, when Greeks and Romans used it to execute criminals. The death of two Byzantine emperors was related to CO produced by the burning of coal in braziers, the usual method of indoor heating during the epoch (Lascaratus </w:t>
      </w:r>
      <w:r>
        <w:rPr>
          <w:i/>
        </w:rPr>
        <w:t>et al., </w:t>
      </w:r>
      <w:r>
        <w:rPr/>
        <w:t>1998). The gas was first prepared by the French chemist de Lassone in 1776, who mistakenly considered it to be hydrogen because of its blue flame. In 1880, William Cruikshank identified it as a compound containing carbon and oxygen. In the middle of 19</w:t>
      </w:r>
      <w:r>
        <w:rPr>
          <w:vertAlign w:val="superscript"/>
        </w:rPr>
        <w:t>th</w:t>
      </w:r>
      <w:r>
        <w:rPr>
          <w:vertAlign w:val="baseline"/>
        </w:rPr>
        <w:t> century, Claude Bernard recognized that CO causes hypoxia due to its interaction with Haemoglobin (Hb). He poisoned dogs with the gas, noticing the scarlet appearance of</w:t>
      </w:r>
      <w:r>
        <w:rPr>
          <w:spacing w:val="80"/>
          <w:vertAlign w:val="baseline"/>
        </w:rPr>
        <w:t> </w:t>
      </w:r>
      <w:r>
        <w:rPr>
          <w:vertAlign w:val="baseline"/>
        </w:rPr>
        <w:t>their</w:t>
      </w:r>
      <w:r>
        <w:rPr>
          <w:spacing w:val="40"/>
          <w:vertAlign w:val="baseline"/>
        </w:rPr>
        <w:t> </w:t>
      </w:r>
      <w:r>
        <w:rPr>
          <w:vertAlign w:val="baseline"/>
        </w:rPr>
        <w:t>blood.</w:t>
      </w:r>
      <w:r>
        <w:rPr>
          <w:spacing w:val="40"/>
          <w:vertAlign w:val="baseline"/>
        </w:rPr>
        <w:t> </w:t>
      </w:r>
      <w:r>
        <w:rPr>
          <w:vertAlign w:val="baseline"/>
        </w:rPr>
        <w:t>Later,</w:t>
      </w:r>
      <w:r>
        <w:rPr>
          <w:spacing w:val="40"/>
          <w:vertAlign w:val="baseline"/>
        </w:rPr>
        <w:t> </w:t>
      </w:r>
      <w:r>
        <w:rPr>
          <w:vertAlign w:val="baseline"/>
        </w:rPr>
        <w:t>Haldane</w:t>
      </w:r>
      <w:r>
        <w:rPr>
          <w:spacing w:val="40"/>
          <w:vertAlign w:val="baseline"/>
        </w:rPr>
        <w:t> </w:t>
      </w:r>
      <w:r>
        <w:rPr>
          <w:vertAlign w:val="baseline"/>
        </w:rPr>
        <w:t>demonstrated</w:t>
      </w:r>
      <w:r>
        <w:rPr>
          <w:spacing w:val="40"/>
          <w:vertAlign w:val="baseline"/>
        </w:rPr>
        <w:t> </w:t>
      </w:r>
      <w:r>
        <w:rPr>
          <w:vertAlign w:val="baseline"/>
        </w:rPr>
        <w:t>that</w:t>
      </w:r>
      <w:r>
        <w:rPr>
          <w:spacing w:val="40"/>
          <w:vertAlign w:val="baseline"/>
        </w:rPr>
        <w:t> </w:t>
      </w:r>
      <w:r>
        <w:rPr>
          <w:vertAlign w:val="baseline"/>
        </w:rPr>
        <w:t>a</w:t>
      </w:r>
      <w:r>
        <w:rPr>
          <w:spacing w:val="40"/>
          <w:vertAlign w:val="baseline"/>
        </w:rPr>
        <w:t> </w:t>
      </w:r>
      <w:r>
        <w:rPr>
          <w:vertAlign w:val="baseline"/>
        </w:rPr>
        <w:t>high</w:t>
      </w:r>
      <w:r>
        <w:rPr>
          <w:spacing w:val="40"/>
          <w:vertAlign w:val="baseline"/>
        </w:rPr>
        <w:t> </w:t>
      </w:r>
      <w:r>
        <w:rPr>
          <w:vertAlign w:val="baseline"/>
        </w:rPr>
        <w:t>partial</w:t>
      </w:r>
      <w:r>
        <w:rPr>
          <w:spacing w:val="40"/>
          <w:vertAlign w:val="baseline"/>
        </w:rPr>
        <w:t> </w:t>
      </w:r>
      <w:r>
        <w:rPr>
          <w:vertAlign w:val="baseline"/>
        </w:rPr>
        <w:t>pressure</w:t>
      </w:r>
      <w:r>
        <w:rPr>
          <w:spacing w:val="40"/>
          <w:vertAlign w:val="baseline"/>
        </w:rPr>
        <w:t> </w:t>
      </w:r>
      <w:r>
        <w:rPr>
          <w:vertAlign w:val="baseline"/>
        </w:rPr>
        <w:t>of</w:t>
      </w:r>
      <w:r>
        <w:rPr>
          <w:spacing w:val="40"/>
          <w:vertAlign w:val="baseline"/>
        </w:rPr>
        <w:t> </w:t>
      </w:r>
      <w:r>
        <w:rPr>
          <w:vertAlign w:val="baseline"/>
        </w:rPr>
        <w:t>O</w:t>
      </w:r>
      <w:r>
        <w:rPr>
          <w:vertAlign w:val="subscript"/>
        </w:rPr>
        <w:t>2</w:t>
      </w:r>
      <w:r>
        <w:rPr>
          <w:spacing w:val="40"/>
          <w:vertAlign w:val="baseline"/>
        </w:rPr>
        <w:t> </w:t>
      </w:r>
      <w:r>
        <w:rPr>
          <w:vertAlign w:val="baseline"/>
        </w:rPr>
        <w:t>can counteract</w:t>
      </w:r>
      <w:r>
        <w:rPr>
          <w:spacing w:val="31"/>
          <w:vertAlign w:val="baseline"/>
        </w:rPr>
        <w:t> </w:t>
      </w:r>
      <w:r>
        <w:rPr>
          <w:vertAlign w:val="baseline"/>
        </w:rPr>
        <w:t>the</w:t>
      </w:r>
      <w:r>
        <w:rPr>
          <w:spacing w:val="38"/>
          <w:vertAlign w:val="baseline"/>
        </w:rPr>
        <w:t> </w:t>
      </w:r>
      <w:r>
        <w:rPr>
          <w:vertAlign w:val="baseline"/>
        </w:rPr>
        <w:t>interaction</w:t>
      </w:r>
      <w:r>
        <w:rPr>
          <w:spacing w:val="23"/>
          <w:vertAlign w:val="baseline"/>
        </w:rPr>
        <w:t> </w:t>
      </w:r>
      <w:r>
        <w:rPr>
          <w:vertAlign w:val="baseline"/>
        </w:rPr>
        <w:t>between</w:t>
      </w:r>
      <w:r>
        <w:rPr>
          <w:spacing w:val="29"/>
          <w:vertAlign w:val="baseline"/>
        </w:rPr>
        <w:t> </w:t>
      </w:r>
      <w:r>
        <w:rPr>
          <w:vertAlign w:val="baseline"/>
        </w:rPr>
        <w:t>Hb</w:t>
      </w:r>
      <w:r>
        <w:rPr>
          <w:spacing w:val="39"/>
          <w:vertAlign w:val="baseline"/>
        </w:rPr>
        <w:t> </w:t>
      </w:r>
      <w:r>
        <w:rPr>
          <w:vertAlign w:val="baseline"/>
        </w:rPr>
        <w:t>and</w:t>
      </w:r>
      <w:r>
        <w:rPr>
          <w:spacing w:val="34"/>
          <w:vertAlign w:val="baseline"/>
        </w:rPr>
        <w:t> </w:t>
      </w:r>
      <w:r>
        <w:rPr>
          <w:vertAlign w:val="baseline"/>
        </w:rPr>
        <w:t>CO,</w:t>
      </w:r>
      <w:r>
        <w:rPr>
          <w:spacing w:val="33"/>
          <w:vertAlign w:val="baseline"/>
        </w:rPr>
        <w:t> </w:t>
      </w:r>
      <w:r>
        <w:rPr>
          <w:vertAlign w:val="baseline"/>
        </w:rPr>
        <w:t>despite</w:t>
      </w:r>
      <w:r>
        <w:rPr>
          <w:spacing w:val="32"/>
          <w:vertAlign w:val="baseline"/>
        </w:rPr>
        <w:t> </w:t>
      </w:r>
      <w:r>
        <w:rPr>
          <w:vertAlign w:val="baseline"/>
        </w:rPr>
        <w:t>the</w:t>
      </w:r>
      <w:r>
        <w:rPr>
          <w:spacing w:val="32"/>
          <w:vertAlign w:val="baseline"/>
        </w:rPr>
        <w:t> </w:t>
      </w:r>
      <w:r>
        <w:rPr>
          <w:vertAlign w:val="baseline"/>
        </w:rPr>
        <w:t>high</w:t>
      </w:r>
      <w:r>
        <w:rPr>
          <w:spacing w:val="29"/>
          <w:vertAlign w:val="baseline"/>
        </w:rPr>
        <w:t> </w:t>
      </w:r>
      <w:r>
        <w:rPr>
          <w:vertAlign w:val="baseline"/>
        </w:rPr>
        <w:t>affinity.</w:t>
      </w:r>
      <w:r>
        <w:rPr>
          <w:spacing w:val="32"/>
          <w:vertAlign w:val="baseline"/>
        </w:rPr>
        <w:t> </w:t>
      </w:r>
      <w:r>
        <w:rPr>
          <w:vertAlign w:val="baseline"/>
        </w:rPr>
        <w:t>There</w:t>
      </w:r>
      <w:r>
        <w:rPr>
          <w:spacing w:val="32"/>
          <w:vertAlign w:val="baseline"/>
        </w:rPr>
        <w:t> </w:t>
      </w:r>
      <w:r>
        <w:rPr>
          <w:vertAlign w:val="baseline"/>
        </w:rPr>
        <w:t>were</w:t>
      </w:r>
      <w:r>
        <w:rPr>
          <w:spacing w:val="26"/>
          <w:vertAlign w:val="baseline"/>
        </w:rPr>
        <w:t> </w:t>
      </w:r>
      <w:r>
        <w:rPr>
          <w:vertAlign w:val="baseline"/>
        </w:rPr>
        <w:t>a lot of cases of CO poisoning during World War II, many of which were due to the</w:t>
      </w:r>
      <w:r>
        <w:rPr>
          <w:spacing w:val="40"/>
          <w:vertAlign w:val="baseline"/>
        </w:rPr>
        <w:t> </w:t>
      </w:r>
      <w:r>
        <w:rPr>
          <w:vertAlign w:val="baseline"/>
        </w:rPr>
        <w:t>rampant use of wood as fuel (Tvedt </w:t>
      </w:r>
      <w:r>
        <w:rPr>
          <w:i/>
          <w:vertAlign w:val="baseline"/>
        </w:rPr>
        <w:t>et al., </w:t>
      </w:r>
      <w:r>
        <w:rPr>
          <w:vertAlign w:val="baseline"/>
        </w:rPr>
        <w:t>1997).</w:t>
      </w:r>
    </w:p>
    <w:p>
      <w:pPr>
        <w:pStyle w:val="BodyText"/>
      </w:pPr>
    </w:p>
    <w:p>
      <w:pPr>
        <w:pStyle w:val="BodyText"/>
        <w:spacing w:before="14"/>
      </w:pPr>
    </w:p>
    <w:p>
      <w:pPr>
        <w:pStyle w:val="BodyText"/>
        <w:spacing w:line="491" w:lineRule="auto"/>
        <w:ind w:left="665" w:right="896"/>
        <w:jc w:val="both"/>
      </w:pPr>
      <w:r>
        <w:rPr/>
        <w:t>Carbon monoxide is the diatomic oxide of carbon that exists as colourless and odourless gas</w:t>
      </w:r>
      <w:r>
        <w:rPr>
          <w:spacing w:val="25"/>
        </w:rPr>
        <w:t> </w:t>
      </w:r>
      <w:r>
        <w:rPr/>
        <w:t>at</w:t>
      </w:r>
      <w:r>
        <w:rPr>
          <w:spacing w:val="26"/>
        </w:rPr>
        <w:t> </w:t>
      </w:r>
      <w:r>
        <w:rPr/>
        <w:t>temperatures</w:t>
      </w:r>
      <w:r>
        <w:rPr>
          <w:spacing w:val="25"/>
        </w:rPr>
        <w:t> </w:t>
      </w:r>
      <w:r>
        <w:rPr/>
        <w:t>above -</w:t>
      </w:r>
      <w:r>
        <w:rPr>
          <w:spacing w:val="34"/>
        </w:rPr>
        <w:t> </w:t>
      </w:r>
      <w:r>
        <w:rPr/>
        <w:t>190°C.</w:t>
      </w:r>
      <w:r>
        <w:rPr>
          <w:spacing w:val="27"/>
        </w:rPr>
        <w:t> </w:t>
      </w:r>
      <w:r>
        <w:rPr/>
        <w:t>It</w:t>
      </w:r>
      <w:r>
        <w:rPr>
          <w:spacing w:val="32"/>
        </w:rPr>
        <w:t> </w:t>
      </w:r>
      <w:r>
        <w:rPr/>
        <w:t>has</w:t>
      </w:r>
      <w:r>
        <w:rPr>
          <w:spacing w:val="25"/>
        </w:rPr>
        <w:t> </w:t>
      </w:r>
      <w:r>
        <w:rPr/>
        <w:t>a</w:t>
      </w:r>
      <w:r>
        <w:rPr>
          <w:spacing w:val="27"/>
        </w:rPr>
        <w:t> </w:t>
      </w:r>
      <w:r>
        <w:rPr/>
        <w:t>density of 1.25</w:t>
      </w:r>
      <w:r>
        <w:rPr>
          <w:spacing w:val="35"/>
        </w:rPr>
        <w:t> </w:t>
      </w:r>
      <w:r>
        <w:rPr/>
        <w:t>g/l</w:t>
      </w:r>
      <w:r>
        <w:rPr>
          <w:spacing w:val="26"/>
        </w:rPr>
        <w:t> </w:t>
      </w:r>
      <w:r>
        <w:rPr/>
        <w:t>at</w:t>
      </w:r>
      <w:r>
        <w:rPr>
          <w:spacing w:val="32"/>
        </w:rPr>
        <w:t> </w:t>
      </w:r>
      <w:r>
        <w:rPr/>
        <w:t>standard</w:t>
      </w:r>
      <w:r>
        <w:rPr>
          <w:spacing w:val="30"/>
        </w:rPr>
        <w:t> </w:t>
      </w:r>
      <w:r>
        <w:rPr/>
        <w:t>temperature and pressure and specific gravity of 0.967 relative to air. The molecule is chemically stable. That is why chemical reduction usually requires temperatures higher than 100°C. At</w:t>
      </w:r>
      <w:r>
        <w:rPr>
          <w:spacing w:val="37"/>
        </w:rPr>
        <w:t> </w:t>
      </w:r>
      <w:r>
        <w:rPr/>
        <w:t>standard</w:t>
      </w:r>
      <w:r>
        <w:rPr>
          <w:spacing w:val="40"/>
        </w:rPr>
        <w:t> </w:t>
      </w:r>
      <w:r>
        <w:rPr/>
        <w:t>temperature and</w:t>
      </w:r>
      <w:r>
        <w:rPr>
          <w:spacing w:val="40"/>
        </w:rPr>
        <w:t> </w:t>
      </w:r>
      <w:r>
        <w:rPr/>
        <w:t>pressure,</w:t>
      </w:r>
      <w:r>
        <w:rPr>
          <w:spacing w:val="38"/>
        </w:rPr>
        <w:t> </w:t>
      </w:r>
      <w:r>
        <w:rPr/>
        <w:t>CO</w:t>
      </w:r>
      <w:r>
        <w:rPr>
          <w:spacing w:val="37"/>
        </w:rPr>
        <w:t> </w:t>
      </w:r>
      <w:r>
        <w:rPr/>
        <w:t>is</w:t>
      </w:r>
      <w:r>
        <w:rPr>
          <w:spacing w:val="36"/>
        </w:rPr>
        <w:t> </w:t>
      </w:r>
      <w:r>
        <w:rPr/>
        <w:t>poorly soluble in</w:t>
      </w:r>
      <w:r>
        <w:rPr>
          <w:spacing w:val="35"/>
        </w:rPr>
        <w:t> </w:t>
      </w:r>
      <w:r>
        <w:rPr/>
        <w:t>water</w:t>
      </w:r>
      <w:r>
        <w:rPr>
          <w:spacing w:val="40"/>
        </w:rPr>
        <w:t> </w:t>
      </w:r>
      <w:r>
        <w:rPr/>
        <w:t>(354</w:t>
      </w:r>
      <w:r>
        <w:rPr>
          <w:spacing w:val="40"/>
        </w:rPr>
        <w:t> </w:t>
      </w:r>
      <w:r>
        <w:rPr/>
        <w:t>ml/dl;</w:t>
      </w:r>
      <w:r>
        <w:rPr>
          <w:spacing w:val="37"/>
        </w:rPr>
        <w:t> </w:t>
      </w:r>
      <w:r>
        <w:rPr/>
        <w:t>44.3 ppm</w:t>
      </w:r>
      <w:r>
        <w:rPr>
          <w:spacing w:val="15"/>
        </w:rPr>
        <w:t> </w:t>
      </w:r>
      <w:r>
        <w:rPr/>
        <w:t>by mass),</w:t>
      </w:r>
      <w:r>
        <w:rPr>
          <w:spacing w:val="26"/>
        </w:rPr>
        <w:t> </w:t>
      </w:r>
      <w:r>
        <w:rPr/>
        <w:t>requiring</w:t>
      </w:r>
      <w:r>
        <w:rPr>
          <w:spacing w:val="17"/>
        </w:rPr>
        <w:t> </w:t>
      </w:r>
      <w:r>
        <w:rPr/>
        <w:t>a</w:t>
      </w:r>
      <w:r>
        <w:rPr>
          <w:spacing w:val="26"/>
        </w:rPr>
        <w:t> </w:t>
      </w:r>
      <w:r>
        <w:rPr/>
        <w:t>lot</w:t>
      </w:r>
      <w:r>
        <w:rPr>
          <w:spacing w:val="25"/>
        </w:rPr>
        <w:t> </w:t>
      </w:r>
      <w:r>
        <w:rPr/>
        <w:t>of</w:t>
      </w:r>
      <w:r>
        <w:rPr>
          <w:spacing w:val="15"/>
        </w:rPr>
        <w:t> </w:t>
      </w:r>
      <w:r>
        <w:rPr/>
        <w:t>activation</w:t>
      </w:r>
      <w:r>
        <w:rPr>
          <w:spacing w:val="17"/>
        </w:rPr>
        <w:t> </w:t>
      </w:r>
      <w:r>
        <w:rPr/>
        <w:t>energy</w:t>
      </w:r>
      <w:r>
        <w:rPr>
          <w:spacing w:val="17"/>
        </w:rPr>
        <w:t> </w:t>
      </w:r>
      <w:r>
        <w:rPr/>
        <w:t>(Allen,</w:t>
      </w:r>
      <w:r>
        <w:rPr>
          <w:spacing w:val="20"/>
        </w:rPr>
        <w:t> </w:t>
      </w:r>
      <w:r>
        <w:rPr/>
        <w:t>1977).</w:t>
      </w:r>
      <w:r>
        <w:rPr>
          <w:spacing w:val="26"/>
        </w:rPr>
        <w:t> </w:t>
      </w:r>
      <w:r>
        <w:rPr/>
        <w:t>Redox</w:t>
      </w:r>
      <w:r>
        <w:rPr>
          <w:spacing w:val="17"/>
        </w:rPr>
        <w:t> </w:t>
      </w:r>
      <w:r>
        <w:rPr/>
        <w:t>reaction</w:t>
      </w:r>
      <w:r>
        <w:rPr>
          <w:spacing w:val="17"/>
        </w:rPr>
        <w:t> </w:t>
      </w:r>
      <w:r>
        <w:rPr/>
        <w:t>is</w:t>
      </w:r>
      <w:r>
        <w:rPr>
          <w:spacing w:val="18"/>
        </w:rPr>
        <w:t> </w:t>
      </w:r>
      <w:r>
        <w:rPr/>
        <w:t>rare</w:t>
      </w:r>
    </w:p>
    <w:p>
      <w:pPr>
        <w:spacing w:after="0" w:line="491" w:lineRule="auto"/>
        <w:jc w:val="both"/>
        <w:sectPr>
          <w:pgSz w:w="12240" w:h="15840"/>
          <w:pgMar w:header="0" w:footer="916" w:top="1260" w:bottom="1100" w:left="1720" w:right="960"/>
        </w:sectPr>
      </w:pPr>
    </w:p>
    <w:p>
      <w:pPr>
        <w:pStyle w:val="BodyText"/>
        <w:spacing w:line="491" w:lineRule="auto" w:before="75"/>
        <w:ind w:left="665" w:right="909"/>
        <w:jc w:val="both"/>
      </w:pPr>
      <w:r>
        <w:rPr/>
        <w:t>(Allen,</w:t>
      </w:r>
      <w:r>
        <w:rPr>
          <w:spacing w:val="40"/>
        </w:rPr>
        <w:t> </w:t>
      </w:r>
      <w:r>
        <w:rPr/>
        <w:t>1977)</w:t>
      </w:r>
      <w:r>
        <w:rPr>
          <w:spacing w:val="40"/>
        </w:rPr>
        <w:t> </w:t>
      </w:r>
      <w:r>
        <w:rPr/>
        <w:t>and</w:t>
      </w:r>
      <w:r>
        <w:rPr>
          <w:spacing w:val="40"/>
        </w:rPr>
        <w:t> </w:t>
      </w:r>
      <w:r>
        <w:rPr/>
        <w:t>is</w:t>
      </w:r>
      <w:r>
        <w:rPr>
          <w:spacing w:val="40"/>
        </w:rPr>
        <w:t> </w:t>
      </w:r>
      <w:r>
        <w:rPr/>
        <w:t>greatly</w:t>
      </w:r>
      <w:r>
        <w:rPr>
          <w:spacing w:val="40"/>
        </w:rPr>
        <w:t> </w:t>
      </w:r>
      <w:r>
        <w:rPr/>
        <w:t>enhanced</w:t>
      </w:r>
      <w:r>
        <w:rPr>
          <w:spacing w:val="40"/>
        </w:rPr>
        <w:t> </w:t>
      </w:r>
      <w:r>
        <w:rPr/>
        <w:t>by</w:t>
      </w:r>
      <w:r>
        <w:rPr>
          <w:spacing w:val="40"/>
        </w:rPr>
        <w:t> </w:t>
      </w:r>
      <w:r>
        <w:rPr/>
        <w:t>transition</w:t>
      </w:r>
      <w:r>
        <w:rPr>
          <w:spacing w:val="40"/>
        </w:rPr>
        <w:t> </w:t>
      </w:r>
      <w:r>
        <w:rPr/>
        <w:t>metals</w:t>
      </w:r>
      <w:r>
        <w:rPr>
          <w:spacing w:val="40"/>
        </w:rPr>
        <w:t> </w:t>
      </w:r>
      <w:r>
        <w:rPr/>
        <w:t>(Shriver,</w:t>
      </w:r>
      <w:r>
        <w:rPr>
          <w:spacing w:val="40"/>
        </w:rPr>
        <w:t> </w:t>
      </w:r>
      <w:r>
        <w:rPr/>
        <w:t>1981).</w:t>
      </w:r>
      <w:r>
        <w:rPr>
          <w:spacing w:val="40"/>
        </w:rPr>
        <w:t> </w:t>
      </w:r>
      <w:r>
        <w:rPr/>
        <w:t>Once formed, metal carbonyls are relatively stable until</w:t>
      </w:r>
      <w:r>
        <w:rPr>
          <w:spacing w:val="35"/>
        </w:rPr>
        <w:t> </w:t>
      </w:r>
      <w:r>
        <w:rPr/>
        <w:t>CO is displaced</w:t>
      </w:r>
      <w:r>
        <w:rPr>
          <w:spacing w:val="32"/>
        </w:rPr>
        <w:t> </w:t>
      </w:r>
      <w:r>
        <w:rPr/>
        <w:t>by molecular O</w:t>
      </w:r>
      <w:r>
        <w:rPr>
          <w:vertAlign w:val="subscript"/>
        </w:rPr>
        <w:t>2</w:t>
      </w:r>
      <w:r>
        <w:rPr>
          <w:vertAlign w:val="baseline"/>
        </w:rPr>
        <w:t>.</w:t>
      </w:r>
    </w:p>
    <w:p>
      <w:pPr>
        <w:pStyle w:val="BodyText"/>
      </w:pPr>
    </w:p>
    <w:p>
      <w:pPr>
        <w:pStyle w:val="BodyText"/>
        <w:spacing w:before="12"/>
      </w:pPr>
    </w:p>
    <w:p>
      <w:pPr>
        <w:pStyle w:val="BodyText"/>
        <w:spacing w:line="491" w:lineRule="auto"/>
        <w:ind w:left="665" w:right="895"/>
        <w:jc w:val="both"/>
      </w:pPr>
      <w:r>
        <w:rPr/>
        <w:t>Generally, the two main sources of CO are the natural sources and the man-made (anthropogenic) sources. The natural sources include volcanic eruption, releasing poisonous gases, forest fire, natural organic and inorganic decays or vegetation decay. Anthropogenic</w:t>
      </w:r>
      <w:r>
        <w:rPr>
          <w:spacing w:val="40"/>
        </w:rPr>
        <w:t> </w:t>
      </w:r>
      <w:r>
        <w:rPr/>
        <w:t>sources are CO that originates from</w:t>
      </w:r>
      <w:r>
        <w:rPr>
          <w:spacing w:val="40"/>
        </w:rPr>
        <w:t> </w:t>
      </w:r>
      <w:r>
        <w:rPr/>
        <w:t>incomplete combustion of any</w:t>
      </w:r>
      <w:r>
        <w:rPr>
          <w:spacing w:val="40"/>
        </w:rPr>
        <w:t> </w:t>
      </w:r>
      <w:r>
        <w:rPr/>
        <w:t>organic</w:t>
      </w:r>
      <w:r>
        <w:rPr>
          <w:spacing w:val="40"/>
        </w:rPr>
        <w:t> </w:t>
      </w:r>
      <w:r>
        <w:rPr/>
        <w:t>matter.</w:t>
      </w:r>
      <w:r>
        <w:rPr>
          <w:spacing w:val="40"/>
        </w:rPr>
        <w:t> </w:t>
      </w:r>
      <w:r>
        <w:rPr/>
        <w:t>These</w:t>
      </w:r>
      <w:r>
        <w:rPr>
          <w:spacing w:val="40"/>
        </w:rPr>
        <w:t> </w:t>
      </w:r>
      <w:r>
        <w:rPr/>
        <w:t>sources</w:t>
      </w:r>
      <w:r>
        <w:rPr>
          <w:spacing w:val="40"/>
        </w:rPr>
        <w:t> </w:t>
      </w:r>
      <w:r>
        <w:rPr/>
        <w:t>include</w:t>
      </w:r>
      <w:r>
        <w:rPr>
          <w:spacing w:val="40"/>
        </w:rPr>
        <w:t> </w:t>
      </w:r>
      <w:r>
        <w:rPr/>
        <w:t>exhaust</w:t>
      </w:r>
      <w:r>
        <w:rPr>
          <w:spacing w:val="40"/>
        </w:rPr>
        <w:t> </w:t>
      </w:r>
      <w:r>
        <w:rPr/>
        <w:t>of</w:t>
      </w:r>
      <w:r>
        <w:rPr>
          <w:spacing w:val="40"/>
        </w:rPr>
        <w:t> </w:t>
      </w:r>
      <w:r>
        <w:rPr/>
        <w:t>internal</w:t>
      </w:r>
      <w:r>
        <w:rPr>
          <w:spacing w:val="40"/>
        </w:rPr>
        <w:t> </w:t>
      </w:r>
      <w:r>
        <w:rPr/>
        <w:t>combustion</w:t>
      </w:r>
      <w:r>
        <w:rPr>
          <w:spacing w:val="40"/>
        </w:rPr>
        <w:t> </w:t>
      </w:r>
      <w:r>
        <w:rPr/>
        <w:t>engines, especially</w:t>
      </w:r>
      <w:r>
        <w:rPr>
          <w:spacing w:val="40"/>
        </w:rPr>
        <w:t> </w:t>
      </w:r>
      <w:r>
        <w:rPr/>
        <w:t>motor</w:t>
      </w:r>
      <w:r>
        <w:rPr>
          <w:spacing w:val="40"/>
        </w:rPr>
        <w:t> </w:t>
      </w:r>
      <w:r>
        <w:rPr/>
        <w:t>vehicles</w:t>
      </w:r>
      <w:r>
        <w:rPr>
          <w:spacing w:val="40"/>
        </w:rPr>
        <w:t> </w:t>
      </w:r>
      <w:r>
        <w:rPr/>
        <w:t>and</w:t>
      </w:r>
      <w:r>
        <w:rPr>
          <w:spacing w:val="40"/>
        </w:rPr>
        <w:t> </w:t>
      </w:r>
      <w:r>
        <w:rPr/>
        <w:t>gasoline-powered</w:t>
      </w:r>
      <w:r>
        <w:rPr>
          <w:spacing w:val="40"/>
        </w:rPr>
        <w:t> </w:t>
      </w:r>
      <w:r>
        <w:rPr/>
        <w:t>generators,</w:t>
      </w:r>
      <w:r>
        <w:rPr>
          <w:spacing w:val="40"/>
        </w:rPr>
        <w:t> </w:t>
      </w:r>
      <w:r>
        <w:rPr/>
        <w:t>various</w:t>
      </w:r>
      <w:r>
        <w:rPr>
          <w:spacing w:val="40"/>
        </w:rPr>
        <w:t> </w:t>
      </w:r>
      <w:r>
        <w:rPr/>
        <w:t>industrial processes, power plants using coal, and waste incinerators (Lindell </w:t>
      </w:r>
      <w:r>
        <w:rPr>
          <w:i/>
        </w:rPr>
        <w:t>et al., </w:t>
      </w:r>
      <w:r>
        <w:rPr/>
        <w:t>2007). Indoor sources include partial combustion of oils, coal, wood or kerosene (Leon, 2007). In Nigeria, the most important sources are exhaust from motor vehicles and gasoline- powered</w:t>
      </w:r>
      <w:r>
        <w:rPr>
          <w:spacing w:val="40"/>
        </w:rPr>
        <w:t> </w:t>
      </w:r>
      <w:r>
        <w:rPr/>
        <w:t>generators;</w:t>
      </w:r>
      <w:r>
        <w:rPr>
          <w:spacing w:val="40"/>
        </w:rPr>
        <w:t> </w:t>
      </w:r>
      <w:r>
        <w:rPr/>
        <w:t>kerosene</w:t>
      </w:r>
      <w:r>
        <w:rPr>
          <w:spacing w:val="40"/>
        </w:rPr>
        <w:t> </w:t>
      </w:r>
      <w:r>
        <w:rPr/>
        <w:t>stoves,</w:t>
      </w:r>
      <w:r>
        <w:rPr>
          <w:spacing w:val="40"/>
        </w:rPr>
        <w:t> </w:t>
      </w:r>
      <w:r>
        <w:rPr/>
        <w:t>wood</w:t>
      </w:r>
      <w:r>
        <w:rPr>
          <w:spacing w:val="40"/>
        </w:rPr>
        <w:t> </w:t>
      </w:r>
      <w:r>
        <w:rPr/>
        <w:t>burning</w:t>
      </w:r>
      <w:r>
        <w:rPr>
          <w:spacing w:val="40"/>
        </w:rPr>
        <w:t> </w:t>
      </w:r>
      <w:r>
        <w:rPr/>
        <w:t>and</w:t>
      </w:r>
      <w:r>
        <w:rPr>
          <w:spacing w:val="40"/>
        </w:rPr>
        <w:t> </w:t>
      </w:r>
      <w:r>
        <w:rPr/>
        <w:t>cigarette</w:t>
      </w:r>
      <w:r>
        <w:rPr>
          <w:spacing w:val="40"/>
        </w:rPr>
        <w:t> </w:t>
      </w:r>
      <w:r>
        <w:rPr/>
        <w:t>smoke</w:t>
      </w:r>
      <w:r>
        <w:rPr>
          <w:spacing w:val="40"/>
        </w:rPr>
        <w:t> </w:t>
      </w:r>
      <w:r>
        <w:rPr/>
        <w:t>(Ayodele</w:t>
      </w:r>
      <w:r>
        <w:rPr>
          <w:spacing w:val="40"/>
        </w:rPr>
        <w:t> </w:t>
      </w:r>
      <w:r>
        <w:rPr>
          <w:i/>
        </w:rPr>
        <w:t>et al</w:t>
      </w:r>
      <w:r>
        <w:rPr/>
        <w:t>.,</w:t>
      </w:r>
      <w:r>
        <w:rPr>
          <w:spacing w:val="18"/>
        </w:rPr>
        <w:t> </w:t>
      </w:r>
      <w:r>
        <w:rPr/>
        <w:t>2007).</w:t>
      </w:r>
      <w:r>
        <w:rPr>
          <w:spacing w:val="24"/>
        </w:rPr>
        <w:t> </w:t>
      </w:r>
      <w:r>
        <w:rPr/>
        <w:t>At rest</w:t>
      </w:r>
      <w:r>
        <w:rPr>
          <w:spacing w:val="17"/>
        </w:rPr>
        <w:t> </w:t>
      </w:r>
      <w:r>
        <w:rPr/>
        <w:t>and</w:t>
      </w:r>
      <w:r>
        <w:rPr>
          <w:spacing w:val="25"/>
        </w:rPr>
        <w:t> </w:t>
      </w:r>
      <w:r>
        <w:rPr/>
        <w:t>without</w:t>
      </w:r>
      <w:r>
        <w:rPr>
          <w:spacing w:val="22"/>
        </w:rPr>
        <w:t> </w:t>
      </w:r>
      <w:r>
        <w:rPr/>
        <w:t>exogenous exposure,</w:t>
      </w:r>
      <w:r>
        <w:rPr>
          <w:spacing w:val="24"/>
        </w:rPr>
        <w:t> </w:t>
      </w:r>
      <w:r>
        <w:rPr/>
        <w:t>minute</w:t>
      </w:r>
      <w:r>
        <w:rPr>
          <w:spacing w:val="18"/>
        </w:rPr>
        <w:t> </w:t>
      </w:r>
      <w:r>
        <w:rPr/>
        <w:t>quantity (0.4</w:t>
      </w:r>
      <w:r>
        <w:rPr>
          <w:spacing w:val="19"/>
        </w:rPr>
        <w:t> </w:t>
      </w:r>
      <w:r>
        <w:rPr/>
        <w:t>- 0.7%) of CO in form of Carboxyhaemoglobin (COHb) is produced endogenously in the body from catabolism of Hb and acts as physiologic smooth muscle relaxant, neurotransmitter and cytoprotector against oxidative stress (Ryter </w:t>
      </w:r>
      <w:r>
        <w:rPr>
          <w:i/>
        </w:rPr>
        <w:t>et al</w:t>
      </w:r>
      <w:r>
        <w:rPr/>
        <w:t>., 2004; USEPA, 2011).</w:t>
      </w:r>
    </w:p>
    <w:p>
      <w:pPr>
        <w:pStyle w:val="BodyText"/>
      </w:pPr>
    </w:p>
    <w:p>
      <w:pPr>
        <w:pStyle w:val="BodyText"/>
        <w:spacing w:before="14"/>
      </w:pPr>
    </w:p>
    <w:p>
      <w:pPr>
        <w:pStyle w:val="BodyText"/>
        <w:spacing w:line="491" w:lineRule="auto"/>
        <w:ind w:left="665" w:right="894"/>
        <w:jc w:val="both"/>
      </w:pPr>
      <w:r>
        <w:rPr/>
        <w:t>Although</w:t>
      </w:r>
      <w:r>
        <w:rPr>
          <w:spacing w:val="40"/>
        </w:rPr>
        <w:t> </w:t>
      </w:r>
      <w:r>
        <w:rPr/>
        <w:t>CO</w:t>
      </w:r>
      <w:r>
        <w:rPr>
          <w:spacing w:val="40"/>
        </w:rPr>
        <w:t> </w:t>
      </w:r>
      <w:r>
        <w:rPr/>
        <w:t>is</w:t>
      </w:r>
      <w:r>
        <w:rPr>
          <w:spacing w:val="40"/>
        </w:rPr>
        <w:t> </w:t>
      </w:r>
      <w:r>
        <w:rPr/>
        <w:t>not</w:t>
      </w:r>
      <w:r>
        <w:rPr>
          <w:spacing w:val="40"/>
        </w:rPr>
        <w:t> </w:t>
      </w:r>
      <w:r>
        <w:rPr/>
        <w:t>among</w:t>
      </w:r>
      <w:r>
        <w:rPr>
          <w:spacing w:val="40"/>
        </w:rPr>
        <w:t> </w:t>
      </w:r>
      <w:r>
        <w:rPr/>
        <w:t>the</w:t>
      </w:r>
      <w:r>
        <w:rPr>
          <w:spacing w:val="40"/>
        </w:rPr>
        <w:t> </w:t>
      </w:r>
      <w:r>
        <w:rPr/>
        <w:t>normal</w:t>
      </w:r>
      <w:r>
        <w:rPr>
          <w:spacing w:val="40"/>
        </w:rPr>
        <w:t> </w:t>
      </w:r>
      <w:r>
        <w:rPr/>
        <w:t>respiratory</w:t>
      </w:r>
      <w:r>
        <w:rPr>
          <w:spacing w:val="40"/>
        </w:rPr>
        <w:t> </w:t>
      </w:r>
      <w:r>
        <w:rPr/>
        <w:t>gases,</w:t>
      </w:r>
      <w:r>
        <w:rPr>
          <w:spacing w:val="40"/>
        </w:rPr>
        <w:t> </w:t>
      </w:r>
      <w:r>
        <w:rPr/>
        <w:t>its</w:t>
      </w:r>
      <w:r>
        <w:rPr>
          <w:spacing w:val="40"/>
        </w:rPr>
        <w:t> </w:t>
      </w:r>
      <w:r>
        <w:rPr/>
        <w:t>physico-chemical similarities</w:t>
      </w:r>
      <w:r>
        <w:rPr>
          <w:spacing w:val="36"/>
        </w:rPr>
        <w:t> </w:t>
      </w:r>
      <w:r>
        <w:rPr/>
        <w:t>with O</w:t>
      </w:r>
      <w:r>
        <w:rPr>
          <w:vertAlign w:val="subscript"/>
        </w:rPr>
        <w:t>2</w:t>
      </w:r>
      <w:r>
        <w:rPr>
          <w:spacing w:val="35"/>
          <w:vertAlign w:val="baseline"/>
        </w:rPr>
        <w:t> </w:t>
      </w:r>
      <w:r>
        <w:rPr>
          <w:vertAlign w:val="baseline"/>
        </w:rPr>
        <w:t>permit an</w:t>
      </w:r>
      <w:r>
        <w:rPr>
          <w:spacing w:val="35"/>
          <w:vertAlign w:val="baseline"/>
        </w:rPr>
        <w:t> </w:t>
      </w:r>
      <w:r>
        <w:rPr>
          <w:vertAlign w:val="baseline"/>
        </w:rPr>
        <w:t>extension</w:t>
      </w:r>
      <w:r>
        <w:rPr>
          <w:spacing w:val="35"/>
          <w:vertAlign w:val="baseline"/>
        </w:rPr>
        <w:t> </w:t>
      </w:r>
      <w:r>
        <w:rPr>
          <w:vertAlign w:val="baseline"/>
        </w:rPr>
        <w:t>of the</w:t>
      </w:r>
      <w:r>
        <w:rPr>
          <w:spacing w:val="40"/>
          <w:vertAlign w:val="baseline"/>
        </w:rPr>
        <w:t> </w:t>
      </w:r>
      <w:r>
        <w:rPr>
          <w:vertAlign w:val="baseline"/>
        </w:rPr>
        <w:t>kinetics of transport to</w:t>
      </w:r>
      <w:r>
        <w:rPr>
          <w:spacing w:val="39"/>
          <w:vertAlign w:val="baseline"/>
        </w:rPr>
        <w:t> </w:t>
      </w:r>
      <w:r>
        <w:rPr>
          <w:vertAlign w:val="baseline"/>
        </w:rPr>
        <w:t>that of O</w:t>
      </w:r>
      <w:r>
        <w:rPr>
          <w:vertAlign w:val="subscript"/>
        </w:rPr>
        <w:t>2</w:t>
      </w:r>
      <w:r>
        <w:rPr>
          <w:vertAlign w:val="baseline"/>
        </w:rPr>
        <w:t>.</w:t>
      </w:r>
      <w:r>
        <w:rPr>
          <w:spacing w:val="38"/>
          <w:vertAlign w:val="baseline"/>
        </w:rPr>
        <w:t> </w:t>
      </w:r>
      <w:r>
        <w:rPr>
          <w:vertAlign w:val="baseline"/>
        </w:rPr>
        <w:t>The mass transport of CO</w:t>
      </w:r>
      <w:r>
        <w:rPr>
          <w:spacing w:val="28"/>
          <w:vertAlign w:val="baseline"/>
        </w:rPr>
        <w:t> </w:t>
      </w:r>
      <w:r>
        <w:rPr>
          <w:vertAlign w:val="baseline"/>
        </w:rPr>
        <w:t>between the</w:t>
      </w:r>
      <w:r>
        <w:rPr>
          <w:spacing w:val="28"/>
          <w:vertAlign w:val="baseline"/>
        </w:rPr>
        <w:t> </w:t>
      </w:r>
      <w:r>
        <w:rPr>
          <w:vertAlign w:val="baseline"/>
        </w:rPr>
        <w:t>airway opening (mouth and</w:t>
      </w:r>
      <w:r>
        <w:rPr>
          <w:spacing w:val="37"/>
          <w:vertAlign w:val="baseline"/>
        </w:rPr>
        <w:t> </w:t>
      </w:r>
      <w:r>
        <w:rPr>
          <w:vertAlign w:val="baseline"/>
        </w:rPr>
        <w:t>nose)</w:t>
      </w:r>
      <w:r>
        <w:rPr>
          <w:spacing w:val="30"/>
          <w:vertAlign w:val="baseline"/>
        </w:rPr>
        <w:t> </w:t>
      </w:r>
      <w:r>
        <w:rPr>
          <w:vertAlign w:val="baseline"/>
        </w:rPr>
        <w:t>and</w:t>
      </w:r>
      <w:r>
        <w:rPr>
          <w:spacing w:val="31"/>
          <w:vertAlign w:val="baseline"/>
        </w:rPr>
        <w:t> </w:t>
      </w:r>
      <w:r>
        <w:rPr>
          <w:vertAlign w:val="baseline"/>
        </w:rPr>
        <w:t>the</w:t>
      </w:r>
      <w:r>
        <w:rPr>
          <w:spacing w:val="28"/>
          <w:vertAlign w:val="baseline"/>
        </w:rPr>
        <w:t> </w:t>
      </w:r>
      <w:r>
        <w:rPr>
          <w:vertAlign w:val="baseline"/>
        </w:rPr>
        <w:t>red</w:t>
      </w:r>
      <w:r>
        <w:rPr>
          <w:spacing w:val="37"/>
          <w:vertAlign w:val="baseline"/>
        </w:rPr>
        <w:t> </w:t>
      </w:r>
      <w:r>
        <w:rPr>
          <w:vertAlign w:val="baseline"/>
        </w:rPr>
        <w:t>blood cell (RBC)</w:t>
      </w:r>
      <w:r>
        <w:rPr>
          <w:spacing w:val="29"/>
          <w:vertAlign w:val="baseline"/>
        </w:rPr>
        <w:t> </w:t>
      </w:r>
      <w:r>
        <w:rPr>
          <w:vertAlign w:val="baseline"/>
        </w:rPr>
        <w:t>Hb</w:t>
      </w:r>
      <w:r>
        <w:rPr>
          <w:spacing w:val="30"/>
          <w:vertAlign w:val="baseline"/>
        </w:rPr>
        <w:t> </w:t>
      </w:r>
      <w:r>
        <w:rPr>
          <w:vertAlign w:val="baseline"/>
        </w:rPr>
        <w:t>is predominantly controlled</w:t>
      </w:r>
      <w:r>
        <w:rPr>
          <w:spacing w:val="30"/>
          <w:vertAlign w:val="baseline"/>
        </w:rPr>
        <w:t> </w:t>
      </w:r>
      <w:r>
        <w:rPr>
          <w:vertAlign w:val="baseline"/>
        </w:rPr>
        <w:t>by physical processes. Therefore,</w:t>
      </w:r>
      <w:r>
        <w:rPr>
          <w:spacing w:val="29"/>
          <w:vertAlign w:val="baseline"/>
        </w:rPr>
        <w:t> </w:t>
      </w:r>
      <w:r>
        <w:rPr>
          <w:vertAlign w:val="baseline"/>
        </w:rPr>
        <w:t>absorption of CO to form COHb requires the transfer of CO in a gas phase between the airway opening and the alveoli; and the transfer in liquid phase, across the air-blood interface, including</w:t>
      </w:r>
      <w:r>
        <w:rPr>
          <w:spacing w:val="15"/>
          <w:vertAlign w:val="baseline"/>
        </w:rPr>
        <w:t> </w:t>
      </w:r>
      <w:r>
        <w:rPr>
          <w:vertAlign w:val="baseline"/>
        </w:rPr>
        <w:t>the</w:t>
      </w:r>
      <w:r>
        <w:rPr>
          <w:spacing w:val="19"/>
          <w:vertAlign w:val="baseline"/>
        </w:rPr>
        <w:t> </w:t>
      </w:r>
      <w:r>
        <w:rPr>
          <w:vertAlign w:val="baseline"/>
        </w:rPr>
        <w:t>RBC.</w:t>
      </w:r>
      <w:r>
        <w:rPr>
          <w:spacing w:val="19"/>
          <w:vertAlign w:val="baseline"/>
        </w:rPr>
        <w:t> </w:t>
      </w:r>
      <w:r>
        <w:rPr>
          <w:vertAlign w:val="baseline"/>
        </w:rPr>
        <w:t>In</w:t>
      </w:r>
      <w:r>
        <w:rPr>
          <w:spacing w:val="15"/>
          <w:vertAlign w:val="baseline"/>
        </w:rPr>
        <w:t> </w:t>
      </w:r>
      <w:r>
        <w:rPr>
          <w:vertAlign w:val="baseline"/>
        </w:rPr>
        <w:t>the</w:t>
      </w:r>
      <w:r>
        <w:rPr>
          <w:spacing w:val="19"/>
          <w:vertAlign w:val="baseline"/>
        </w:rPr>
        <w:t> </w:t>
      </w:r>
      <w:r>
        <w:rPr>
          <w:vertAlign w:val="baseline"/>
        </w:rPr>
        <w:t>gas</w:t>
      </w:r>
      <w:r>
        <w:rPr>
          <w:spacing w:val="17"/>
          <w:vertAlign w:val="baseline"/>
        </w:rPr>
        <w:t> </w:t>
      </w:r>
      <w:r>
        <w:rPr>
          <w:vertAlign w:val="baseline"/>
        </w:rPr>
        <w:t>phase,</w:t>
      </w:r>
      <w:r>
        <w:rPr>
          <w:spacing w:val="19"/>
          <w:vertAlign w:val="baseline"/>
        </w:rPr>
        <w:t> </w:t>
      </w:r>
      <w:r>
        <w:rPr>
          <w:vertAlign w:val="baseline"/>
        </w:rPr>
        <w:t>CO</w:t>
      </w:r>
      <w:r>
        <w:rPr>
          <w:spacing w:val="18"/>
          <w:vertAlign w:val="baseline"/>
        </w:rPr>
        <w:t> </w:t>
      </w:r>
      <w:r>
        <w:rPr>
          <w:vertAlign w:val="baseline"/>
        </w:rPr>
        <w:t>is</w:t>
      </w:r>
      <w:r>
        <w:rPr>
          <w:spacing w:val="17"/>
          <w:vertAlign w:val="baseline"/>
        </w:rPr>
        <w:t> </w:t>
      </w:r>
      <w:r>
        <w:rPr>
          <w:vertAlign w:val="baseline"/>
        </w:rPr>
        <w:t>transported</w:t>
      </w:r>
      <w:r>
        <w:rPr>
          <w:spacing w:val="14"/>
          <w:vertAlign w:val="baseline"/>
        </w:rPr>
        <w:t> </w:t>
      </w:r>
      <w:r>
        <w:rPr>
          <w:vertAlign w:val="baseline"/>
        </w:rPr>
        <w:t>by convective</w:t>
      </w:r>
      <w:r>
        <w:rPr>
          <w:spacing w:val="19"/>
          <w:vertAlign w:val="baseline"/>
        </w:rPr>
        <w:t> </w:t>
      </w:r>
      <w:r>
        <w:rPr>
          <w:vertAlign w:val="baseline"/>
        </w:rPr>
        <w:t>flow</w:t>
      </w:r>
      <w:r>
        <w:rPr>
          <w:spacing w:val="18"/>
          <w:vertAlign w:val="baseline"/>
        </w:rPr>
        <w:t> </w:t>
      </w:r>
      <w:r>
        <w:rPr>
          <w:vertAlign w:val="baseline"/>
        </w:rPr>
        <w:t>and</w:t>
      </w:r>
      <w:r>
        <w:rPr>
          <w:spacing w:val="20"/>
          <w:vertAlign w:val="baseline"/>
        </w:rPr>
        <w:t> </w:t>
      </w:r>
      <w:r>
        <w:rPr>
          <w:vertAlign w:val="baseline"/>
        </w:rPr>
        <w:t>ultimate</w:t>
      </w:r>
    </w:p>
    <w:p>
      <w:pPr>
        <w:spacing w:after="0" w:line="491" w:lineRule="auto"/>
        <w:jc w:val="both"/>
        <w:sectPr>
          <w:pgSz w:w="12240" w:h="15840"/>
          <w:pgMar w:header="0" w:footer="916" w:top="1260" w:bottom="1100" w:left="1720" w:right="960"/>
        </w:sectPr>
      </w:pPr>
    </w:p>
    <w:p>
      <w:pPr>
        <w:pStyle w:val="BodyText"/>
        <w:spacing w:line="491" w:lineRule="auto" w:before="75"/>
        <w:ind w:left="665" w:right="903"/>
        <w:jc w:val="both"/>
      </w:pPr>
      <w:r>
        <w:rPr/>
        <w:t>diffusion in the acinar zone of the lung; (Lingyun </w:t>
      </w:r>
      <w:r>
        <w:rPr>
          <w:i/>
        </w:rPr>
        <w:t>et al</w:t>
      </w:r>
      <w:r>
        <w:rPr/>
        <w:t>., 2005). Subsequent molecular diffusion</w:t>
      </w:r>
      <w:r>
        <w:rPr>
          <w:spacing w:val="40"/>
        </w:rPr>
        <w:t> </w:t>
      </w:r>
      <w:r>
        <w:rPr/>
        <w:t>of</w:t>
      </w:r>
      <w:r>
        <w:rPr>
          <w:spacing w:val="40"/>
        </w:rPr>
        <w:t> </w:t>
      </w:r>
      <w:r>
        <w:rPr/>
        <w:t>CO</w:t>
      </w:r>
      <w:r>
        <w:rPr>
          <w:spacing w:val="40"/>
        </w:rPr>
        <w:t> </w:t>
      </w:r>
      <w:r>
        <w:rPr/>
        <w:t>across</w:t>
      </w:r>
      <w:r>
        <w:rPr>
          <w:spacing w:val="40"/>
        </w:rPr>
        <w:t> </w:t>
      </w:r>
      <w:r>
        <w:rPr/>
        <w:t>alveolo-capillary</w:t>
      </w:r>
      <w:r>
        <w:rPr>
          <w:spacing w:val="40"/>
        </w:rPr>
        <w:t> </w:t>
      </w:r>
      <w:r>
        <w:rPr/>
        <w:t>membrane,</w:t>
      </w:r>
      <w:r>
        <w:rPr>
          <w:spacing w:val="40"/>
        </w:rPr>
        <w:t> </w:t>
      </w:r>
      <w:r>
        <w:rPr/>
        <w:t>along</w:t>
      </w:r>
      <w:r>
        <w:rPr>
          <w:spacing w:val="40"/>
        </w:rPr>
        <w:t> </w:t>
      </w:r>
      <w:r>
        <w:rPr/>
        <w:t>the</w:t>
      </w:r>
      <w:r>
        <w:rPr>
          <w:spacing w:val="40"/>
        </w:rPr>
        <w:t> </w:t>
      </w:r>
      <w:r>
        <w:rPr/>
        <w:t>pressure</w:t>
      </w:r>
      <w:r>
        <w:rPr>
          <w:spacing w:val="40"/>
        </w:rPr>
        <w:t> </w:t>
      </w:r>
      <w:r>
        <w:rPr/>
        <w:t>gradient, plasma, and</w:t>
      </w:r>
      <w:r>
        <w:rPr>
          <w:spacing w:val="30"/>
        </w:rPr>
        <w:t> </w:t>
      </w:r>
      <w:r>
        <w:rPr/>
        <w:t>RBC involves</w:t>
      </w:r>
      <w:r>
        <w:rPr>
          <w:spacing w:val="26"/>
        </w:rPr>
        <w:t> </w:t>
      </w:r>
      <w:r>
        <w:rPr/>
        <w:t>the liquid phase, and</w:t>
      </w:r>
      <w:r>
        <w:rPr>
          <w:spacing w:val="30"/>
        </w:rPr>
        <w:t> </w:t>
      </w:r>
      <w:r>
        <w:rPr/>
        <w:t>it is a</w:t>
      </w:r>
      <w:r>
        <w:rPr>
          <w:spacing w:val="28"/>
        </w:rPr>
        <w:t> </w:t>
      </w:r>
      <w:r>
        <w:rPr/>
        <w:t>very rapid process (Figure 1.1).</w:t>
      </w:r>
    </w:p>
    <w:p>
      <w:pPr>
        <w:pStyle w:val="BodyText"/>
      </w:pPr>
    </w:p>
    <w:p>
      <w:pPr>
        <w:pStyle w:val="BodyText"/>
        <w:spacing w:before="12"/>
      </w:pPr>
    </w:p>
    <w:p>
      <w:pPr>
        <w:pStyle w:val="BodyText"/>
        <w:spacing w:line="491" w:lineRule="auto"/>
        <w:ind w:left="665" w:right="896"/>
        <w:jc w:val="both"/>
      </w:pPr>
      <w:r>
        <w:rPr/>
        <w:t>Acute, mild exposure to CO results in headache, myalgia, dizziness, or</w:t>
      </w:r>
      <w:r>
        <w:rPr>
          <w:spacing w:val="40"/>
        </w:rPr>
        <w:t> </w:t>
      </w:r>
      <w:r>
        <w:rPr/>
        <w:t>neuropsychological impairment (Amitai </w:t>
      </w:r>
      <w:r>
        <w:rPr>
          <w:i/>
        </w:rPr>
        <w:t>et al</w:t>
      </w:r>
      <w:r>
        <w:rPr/>
        <w:t>., 1998). Severe exposures result in confusion, loss of consciousness, or death. Long-term, sub-acute exposure, lasting more than 24 hours generally occur intermittently and may span weeks or even years. The incidence of long-term exposure is unknown (WHO, 2000). Symptoms of chronic poisoning may differ from those of acute poisoning and can include chronic fatigue, affective</w:t>
      </w:r>
      <w:r>
        <w:rPr>
          <w:spacing w:val="40"/>
        </w:rPr>
        <w:t> </w:t>
      </w:r>
      <w:r>
        <w:rPr/>
        <w:t>conditions</w:t>
      </w:r>
      <w:r>
        <w:rPr>
          <w:spacing w:val="40"/>
        </w:rPr>
        <w:t> </w:t>
      </w:r>
      <w:r>
        <w:rPr/>
        <w:t>and</w:t>
      </w:r>
      <w:r>
        <w:rPr>
          <w:spacing w:val="40"/>
        </w:rPr>
        <w:t> </w:t>
      </w:r>
      <w:r>
        <w:rPr/>
        <w:t>emotional distress,</w:t>
      </w:r>
      <w:r>
        <w:rPr>
          <w:spacing w:val="40"/>
        </w:rPr>
        <w:t> </w:t>
      </w:r>
      <w:r>
        <w:rPr/>
        <w:t>memory deficits,</w:t>
      </w:r>
      <w:r>
        <w:rPr>
          <w:spacing w:val="40"/>
        </w:rPr>
        <w:t> </w:t>
      </w:r>
      <w:r>
        <w:rPr/>
        <w:t>difficulty in</w:t>
      </w:r>
      <w:r>
        <w:rPr>
          <w:spacing w:val="40"/>
        </w:rPr>
        <w:t> </w:t>
      </w:r>
      <w:r>
        <w:rPr/>
        <w:t>working.</w:t>
      </w:r>
      <w:r>
        <w:rPr>
          <w:spacing w:val="40"/>
        </w:rPr>
        <w:t> </w:t>
      </w:r>
      <w:r>
        <w:rPr/>
        <w:t>It may also include sleep disturbances, vertigo, neuropathy, paresthesias, recurrent infections, polycythemia, abdominal pain and diarrhoea (Penney, 2008).</w:t>
      </w:r>
    </w:p>
    <w:p>
      <w:pPr>
        <w:pStyle w:val="BodyText"/>
      </w:pPr>
    </w:p>
    <w:p>
      <w:pPr>
        <w:pStyle w:val="BodyText"/>
        <w:spacing w:before="15"/>
      </w:pPr>
    </w:p>
    <w:p>
      <w:pPr>
        <w:pStyle w:val="BodyText"/>
        <w:spacing w:line="491" w:lineRule="auto"/>
        <w:ind w:left="665" w:right="899"/>
        <w:jc w:val="both"/>
      </w:pPr>
      <w:r>
        <w:rPr/>
        <w:t>Carbon</w:t>
      </w:r>
      <w:r>
        <w:rPr>
          <w:spacing w:val="40"/>
        </w:rPr>
        <w:t> </w:t>
      </w:r>
      <w:r>
        <w:rPr/>
        <w:t>monoxide</w:t>
      </w:r>
      <w:r>
        <w:rPr>
          <w:spacing w:val="40"/>
        </w:rPr>
        <w:t> </w:t>
      </w:r>
      <w:r>
        <w:rPr/>
        <w:t>poisoning</w:t>
      </w:r>
      <w:r>
        <w:rPr>
          <w:spacing w:val="40"/>
        </w:rPr>
        <w:t> </w:t>
      </w:r>
      <w:r>
        <w:rPr/>
        <w:t>was</w:t>
      </w:r>
      <w:r>
        <w:rPr>
          <w:spacing w:val="40"/>
        </w:rPr>
        <w:t> </w:t>
      </w:r>
      <w:r>
        <w:rPr/>
        <w:t>defined</w:t>
      </w:r>
      <w:r>
        <w:rPr>
          <w:spacing w:val="40"/>
        </w:rPr>
        <w:t> </w:t>
      </w:r>
      <w:r>
        <w:rPr/>
        <w:t>as</w:t>
      </w:r>
      <w:r>
        <w:rPr>
          <w:spacing w:val="40"/>
        </w:rPr>
        <w:t> </w:t>
      </w:r>
      <w:r>
        <w:rPr/>
        <w:t>any</w:t>
      </w:r>
      <w:r>
        <w:rPr>
          <w:spacing w:val="40"/>
        </w:rPr>
        <w:t> </w:t>
      </w:r>
      <w:r>
        <w:rPr/>
        <w:t>case</w:t>
      </w:r>
      <w:r>
        <w:rPr>
          <w:spacing w:val="40"/>
        </w:rPr>
        <w:t> </w:t>
      </w:r>
      <w:r>
        <w:rPr/>
        <w:t>of</w:t>
      </w:r>
      <w:r>
        <w:rPr>
          <w:spacing w:val="40"/>
        </w:rPr>
        <w:t> </w:t>
      </w:r>
      <w:r>
        <w:rPr/>
        <w:t>accidental</w:t>
      </w:r>
      <w:r>
        <w:rPr>
          <w:spacing w:val="40"/>
        </w:rPr>
        <w:t> </w:t>
      </w:r>
      <w:r>
        <w:rPr/>
        <w:t>or</w:t>
      </w:r>
      <w:r>
        <w:rPr>
          <w:spacing w:val="40"/>
        </w:rPr>
        <w:t> </w:t>
      </w:r>
      <w:r>
        <w:rPr/>
        <w:t>deliberate exposure,</w:t>
      </w:r>
      <w:r>
        <w:rPr>
          <w:spacing w:val="26"/>
        </w:rPr>
        <w:t> </w:t>
      </w:r>
      <w:r>
        <w:rPr/>
        <w:t>with a</w:t>
      </w:r>
      <w:r>
        <w:rPr>
          <w:spacing w:val="26"/>
        </w:rPr>
        <w:t> </w:t>
      </w:r>
      <w:r>
        <w:rPr/>
        <w:t>history suggestive of CO</w:t>
      </w:r>
      <w:r>
        <w:rPr>
          <w:spacing w:val="25"/>
        </w:rPr>
        <w:t> </w:t>
      </w:r>
      <w:r>
        <w:rPr/>
        <w:t>exposure and</w:t>
      </w:r>
      <w:r>
        <w:rPr>
          <w:spacing w:val="21"/>
        </w:rPr>
        <w:t> </w:t>
      </w:r>
      <w:r>
        <w:rPr/>
        <w:t>exhibiting symptoms and</w:t>
      </w:r>
      <w:r>
        <w:rPr>
          <w:spacing w:val="28"/>
        </w:rPr>
        <w:t> </w:t>
      </w:r>
      <w:r>
        <w:rPr/>
        <w:t>signs of CO intoxication as well as an elevated blood COHb level.</w:t>
      </w:r>
    </w:p>
    <w:p>
      <w:pPr>
        <w:spacing w:after="0" w:line="491" w:lineRule="auto"/>
        <w:jc w:val="both"/>
        <w:sectPr>
          <w:pgSz w:w="12240" w:h="15840"/>
          <w:pgMar w:header="0" w:footer="916" w:top="1260" w:bottom="1100" w:left="1720" w:right="960"/>
        </w:sectPr>
      </w:pPr>
    </w:p>
    <w:p>
      <w:pPr>
        <w:pStyle w:val="BodyText"/>
        <w:ind w:left="747"/>
        <w:rPr>
          <w:sz w:val="20"/>
        </w:rPr>
      </w:pPr>
      <w:r>
        <w:rPr>
          <w:sz w:val="20"/>
        </w:rPr>
        <w:drawing>
          <wp:inline distT="0" distB="0" distL="0" distR="0">
            <wp:extent cx="4590453" cy="4096512"/>
            <wp:effectExtent l="0" t="0" r="0" b="0"/>
            <wp:docPr id="4" name="Image 4"/>
            <wp:cNvGraphicFramePr>
              <a:graphicFrameLocks/>
            </wp:cNvGraphicFramePr>
            <a:graphic>
              <a:graphicData uri="http://schemas.openxmlformats.org/drawingml/2006/picture">
                <pic:pic>
                  <pic:nvPicPr>
                    <pic:cNvPr id="4" name="Image 4"/>
                    <pic:cNvPicPr/>
                  </pic:nvPicPr>
                  <pic:blipFill>
                    <a:blip r:embed="rId8" cstate="print"/>
                    <a:stretch>
                      <a:fillRect/>
                    </a:stretch>
                  </pic:blipFill>
                  <pic:spPr>
                    <a:xfrm>
                      <a:off x="0" y="0"/>
                      <a:ext cx="4590453" cy="4096512"/>
                    </a:xfrm>
                    <a:prstGeom prst="rect">
                      <a:avLst/>
                    </a:prstGeom>
                  </pic:spPr>
                </pic:pic>
              </a:graphicData>
            </a:graphic>
          </wp:inline>
        </w:drawing>
      </w:r>
      <w:r>
        <w:rPr>
          <w:sz w:val="20"/>
        </w:rPr>
      </w:r>
    </w:p>
    <w:p>
      <w:pPr>
        <w:pStyle w:val="BodyText"/>
      </w:pPr>
    </w:p>
    <w:p>
      <w:pPr>
        <w:pStyle w:val="BodyText"/>
      </w:pPr>
    </w:p>
    <w:p>
      <w:pPr>
        <w:pStyle w:val="BodyText"/>
        <w:spacing w:before="38"/>
      </w:pPr>
    </w:p>
    <w:p>
      <w:pPr>
        <w:pStyle w:val="Heading3"/>
        <w:spacing w:line="491" w:lineRule="auto" w:before="1"/>
        <w:ind w:right="896"/>
      </w:pPr>
      <w:r>
        <w:rPr/>
        <w:t>Figure</w:t>
      </w:r>
      <w:r>
        <w:rPr>
          <w:spacing w:val="40"/>
        </w:rPr>
        <w:t>  </w:t>
      </w:r>
      <w:r>
        <w:rPr/>
        <w:t>1.1:</w:t>
      </w:r>
      <w:r>
        <w:rPr>
          <w:spacing w:val="40"/>
        </w:rPr>
        <w:t>  </w:t>
      </w:r>
      <w:r>
        <w:rPr/>
        <w:t>Diagrammatic</w:t>
      </w:r>
      <w:r>
        <w:rPr>
          <w:spacing w:val="40"/>
        </w:rPr>
        <w:t>  </w:t>
      </w:r>
      <w:r>
        <w:rPr/>
        <w:t>presentation</w:t>
      </w:r>
      <w:r>
        <w:rPr>
          <w:spacing w:val="40"/>
        </w:rPr>
        <w:t>  </w:t>
      </w:r>
      <w:r>
        <w:rPr/>
        <w:t>of</w:t>
      </w:r>
      <w:r>
        <w:rPr>
          <w:spacing w:val="40"/>
        </w:rPr>
        <w:t>  </w:t>
      </w:r>
      <w:r>
        <w:rPr/>
        <w:t>carbon</w:t>
      </w:r>
      <w:r>
        <w:rPr>
          <w:spacing w:val="40"/>
        </w:rPr>
        <w:t>  </w:t>
      </w:r>
      <w:r>
        <w:rPr/>
        <w:t>monoxide</w:t>
      </w:r>
      <w:r>
        <w:rPr>
          <w:spacing w:val="40"/>
        </w:rPr>
        <w:t>  </w:t>
      </w:r>
      <w:r>
        <w:rPr/>
        <w:t>uptake</w:t>
      </w:r>
      <w:r>
        <w:rPr>
          <w:spacing w:val="40"/>
        </w:rPr>
        <w:t>  </w:t>
      </w:r>
      <w:r>
        <w:rPr/>
        <w:t>and elimination pathways and carbon monoxide in body stores (Coburn, 1965).</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81"/>
        <w:rPr>
          <w:b/>
        </w:rPr>
      </w:pPr>
    </w:p>
    <w:p>
      <w:pPr>
        <w:pStyle w:val="BodyText"/>
        <w:spacing w:line="491" w:lineRule="auto"/>
        <w:ind w:left="665" w:right="896"/>
      </w:pPr>
      <w:r>
        <w:rPr/>
        <w:t>An</w:t>
      </w:r>
      <w:r>
        <w:rPr>
          <w:spacing w:val="32"/>
        </w:rPr>
        <w:t> </w:t>
      </w:r>
      <w:r>
        <w:rPr/>
        <w:t>elevated</w:t>
      </w:r>
      <w:r>
        <w:rPr>
          <w:spacing w:val="36"/>
        </w:rPr>
        <w:t> </w:t>
      </w:r>
      <w:r>
        <w:rPr/>
        <w:t>COHb</w:t>
      </w:r>
      <w:r>
        <w:rPr>
          <w:spacing w:val="40"/>
        </w:rPr>
        <w:t> </w:t>
      </w:r>
      <w:r>
        <w:rPr/>
        <w:t>level</w:t>
      </w:r>
      <w:r>
        <w:rPr>
          <w:spacing w:val="28"/>
        </w:rPr>
        <w:t> </w:t>
      </w:r>
      <w:r>
        <w:rPr/>
        <w:t>was</w:t>
      </w:r>
      <w:r>
        <w:rPr>
          <w:spacing w:val="33"/>
        </w:rPr>
        <w:t> </w:t>
      </w:r>
      <w:r>
        <w:rPr/>
        <w:t>defined</w:t>
      </w:r>
      <w:r>
        <w:rPr>
          <w:spacing w:val="36"/>
        </w:rPr>
        <w:t> </w:t>
      </w:r>
      <w:r>
        <w:rPr/>
        <w:t>as</w:t>
      </w:r>
      <w:r>
        <w:rPr>
          <w:spacing w:val="27"/>
        </w:rPr>
        <w:t> </w:t>
      </w:r>
      <w:r>
        <w:rPr/>
        <w:t>greater</w:t>
      </w:r>
      <w:r>
        <w:rPr>
          <w:spacing w:val="36"/>
        </w:rPr>
        <w:t> </w:t>
      </w:r>
      <w:r>
        <w:rPr/>
        <w:t>than</w:t>
      </w:r>
      <w:r>
        <w:rPr>
          <w:spacing w:val="32"/>
        </w:rPr>
        <w:t> </w:t>
      </w:r>
      <w:r>
        <w:rPr/>
        <w:t>2%</w:t>
      </w:r>
      <w:r>
        <w:rPr>
          <w:spacing w:val="34"/>
        </w:rPr>
        <w:t> </w:t>
      </w:r>
      <w:r>
        <w:rPr/>
        <w:t>for</w:t>
      </w:r>
      <w:r>
        <w:rPr>
          <w:spacing w:val="36"/>
        </w:rPr>
        <w:t> </w:t>
      </w:r>
      <w:r>
        <w:rPr/>
        <w:t>non-smokers</w:t>
      </w:r>
      <w:r>
        <w:rPr>
          <w:spacing w:val="33"/>
        </w:rPr>
        <w:t> </w:t>
      </w:r>
      <w:r>
        <w:rPr/>
        <w:t>and</w:t>
      </w:r>
      <w:r>
        <w:rPr>
          <w:spacing w:val="36"/>
        </w:rPr>
        <w:t> </w:t>
      </w:r>
      <w:r>
        <w:rPr/>
        <w:t>greater than</w:t>
      </w:r>
      <w:r>
        <w:rPr>
          <w:spacing w:val="27"/>
        </w:rPr>
        <w:t> </w:t>
      </w:r>
      <w:r>
        <w:rPr/>
        <w:t>9%</w:t>
      </w:r>
      <w:r>
        <w:rPr>
          <w:spacing w:val="35"/>
        </w:rPr>
        <w:t> </w:t>
      </w:r>
      <w:r>
        <w:rPr/>
        <w:t>for</w:t>
      </w:r>
      <w:r>
        <w:rPr>
          <w:spacing w:val="37"/>
        </w:rPr>
        <w:t> </w:t>
      </w:r>
      <w:r>
        <w:rPr/>
        <w:t>smokers</w:t>
      </w:r>
      <w:r>
        <w:rPr>
          <w:spacing w:val="34"/>
        </w:rPr>
        <w:t> </w:t>
      </w:r>
      <w:r>
        <w:rPr/>
        <w:t>(Radford</w:t>
      </w:r>
      <w:r>
        <w:rPr>
          <w:spacing w:val="40"/>
        </w:rPr>
        <w:t> </w:t>
      </w:r>
      <w:r>
        <w:rPr>
          <w:i/>
        </w:rPr>
        <w:t>et</w:t>
      </w:r>
      <w:r>
        <w:rPr>
          <w:i/>
          <w:spacing w:val="30"/>
        </w:rPr>
        <w:t> </w:t>
      </w:r>
      <w:r>
        <w:rPr>
          <w:i/>
        </w:rPr>
        <w:t>al</w:t>
      </w:r>
      <w:r>
        <w:rPr/>
        <w:t>.,</w:t>
      </w:r>
      <w:r>
        <w:rPr>
          <w:spacing w:val="26"/>
        </w:rPr>
        <w:t> </w:t>
      </w:r>
      <w:r>
        <w:rPr/>
        <w:t>1982).</w:t>
      </w:r>
      <w:r>
        <w:rPr>
          <w:spacing w:val="32"/>
        </w:rPr>
        <w:t> </w:t>
      </w:r>
      <w:r>
        <w:rPr/>
        <w:t>Responses</w:t>
      </w:r>
      <w:r>
        <w:rPr>
          <w:spacing w:val="34"/>
        </w:rPr>
        <w:t> </w:t>
      </w:r>
      <w:r>
        <w:rPr/>
        <w:t>to</w:t>
      </w:r>
      <w:r>
        <w:rPr>
          <w:spacing w:val="37"/>
        </w:rPr>
        <w:t> </w:t>
      </w:r>
      <w:r>
        <w:rPr/>
        <w:t>CO</w:t>
      </w:r>
      <w:r>
        <w:rPr>
          <w:spacing w:val="35"/>
        </w:rPr>
        <w:t> </w:t>
      </w:r>
      <w:r>
        <w:rPr/>
        <w:t>poisoning</w:t>
      </w:r>
      <w:r>
        <w:rPr>
          <w:spacing w:val="27"/>
        </w:rPr>
        <w:t> </w:t>
      </w:r>
      <w:r>
        <w:rPr/>
        <w:t>are</w:t>
      </w:r>
      <w:r>
        <w:rPr>
          <w:spacing w:val="37"/>
        </w:rPr>
        <w:t> </w:t>
      </w:r>
      <w:r>
        <w:rPr>
          <w:spacing w:val="-2"/>
        </w:rPr>
        <w:t>variable.</w:t>
      </w:r>
    </w:p>
    <w:p>
      <w:pPr>
        <w:spacing w:after="0" w:line="491" w:lineRule="auto"/>
        <w:sectPr>
          <w:pgSz w:w="12240" w:h="15840"/>
          <w:pgMar w:header="0" w:footer="916" w:top="1420" w:bottom="1100" w:left="1720" w:right="960"/>
        </w:sectPr>
      </w:pPr>
    </w:p>
    <w:p>
      <w:pPr>
        <w:pStyle w:val="BodyText"/>
        <w:spacing w:line="491" w:lineRule="auto" w:before="75"/>
        <w:ind w:left="665" w:right="892"/>
        <w:jc w:val="both"/>
      </w:pPr>
      <w:r>
        <w:rPr/>
        <w:t>Exposed children often become symptomatic earlier, and recover faster than similarly exposed adults. This is because of their lesser blood volume and increased minute ventilation per unit of body mass as compared</w:t>
      </w:r>
      <w:r>
        <w:rPr>
          <w:spacing w:val="38"/>
        </w:rPr>
        <w:t> </w:t>
      </w:r>
      <w:r>
        <w:rPr/>
        <w:t>with adults (Sunny,</w:t>
      </w:r>
      <w:r>
        <w:rPr>
          <w:spacing w:val="37"/>
        </w:rPr>
        <w:t> </w:t>
      </w:r>
      <w:r>
        <w:rPr/>
        <w:t>2008).</w:t>
      </w:r>
    </w:p>
    <w:p>
      <w:pPr>
        <w:pStyle w:val="BodyText"/>
      </w:pPr>
    </w:p>
    <w:p>
      <w:pPr>
        <w:pStyle w:val="BodyText"/>
        <w:spacing w:before="12"/>
      </w:pPr>
    </w:p>
    <w:p>
      <w:pPr>
        <w:pStyle w:val="BodyText"/>
        <w:spacing w:line="491" w:lineRule="auto"/>
        <w:ind w:left="665" w:right="895"/>
        <w:jc w:val="both"/>
      </w:pPr>
      <w:r>
        <w:rPr/>
        <w:t>Toxicity occurs mostly in cases of exposure to acutely high CO as in fire accidents, but chronic exposures usually result in subtle and delayed onset of neuropsychiatric symptoms, which may not necessarily be attributed to only CO intoxication (Mimura </w:t>
      </w:r>
      <w:r>
        <w:rPr>
          <w:i/>
        </w:rPr>
        <w:t>et al</w:t>
      </w:r>
      <w:r>
        <w:rPr/>
        <w:t>., 1999). Toxicity also depends on the concentration of the gas, but typically poisoning can</w:t>
      </w:r>
      <w:r>
        <w:rPr>
          <w:spacing w:val="34"/>
        </w:rPr>
        <w:t> </w:t>
      </w:r>
      <w:r>
        <w:rPr/>
        <w:t>occur</w:t>
      </w:r>
      <w:r>
        <w:rPr>
          <w:spacing w:val="38"/>
        </w:rPr>
        <w:t> </w:t>
      </w:r>
      <w:r>
        <w:rPr/>
        <w:t>from</w:t>
      </w:r>
      <w:r>
        <w:rPr>
          <w:spacing w:val="34"/>
        </w:rPr>
        <w:t> </w:t>
      </w:r>
      <w:r>
        <w:rPr/>
        <w:t>any</w:t>
      </w:r>
      <w:r>
        <w:rPr>
          <w:spacing w:val="40"/>
        </w:rPr>
        <w:t> </w:t>
      </w:r>
      <w:r>
        <w:rPr/>
        <w:t>form</w:t>
      </w:r>
      <w:r>
        <w:rPr>
          <w:spacing w:val="38"/>
        </w:rPr>
        <w:t> </w:t>
      </w:r>
      <w:r>
        <w:rPr/>
        <w:t>of</w:t>
      </w:r>
      <w:r>
        <w:rPr>
          <w:spacing w:val="38"/>
        </w:rPr>
        <w:t> </w:t>
      </w:r>
      <w:r>
        <w:rPr/>
        <w:t>CO</w:t>
      </w:r>
      <w:r>
        <w:rPr>
          <w:spacing w:val="40"/>
        </w:rPr>
        <w:t> </w:t>
      </w:r>
      <w:r>
        <w:rPr/>
        <w:t>exposure</w:t>
      </w:r>
      <w:r>
        <w:rPr>
          <w:spacing w:val="37"/>
        </w:rPr>
        <w:t> </w:t>
      </w:r>
      <w:r>
        <w:rPr/>
        <w:t>(Weaver</w:t>
      </w:r>
      <w:r>
        <w:rPr>
          <w:spacing w:val="40"/>
        </w:rPr>
        <w:t> </w:t>
      </w:r>
      <w:r>
        <w:rPr>
          <w:i/>
        </w:rPr>
        <w:t>et</w:t>
      </w:r>
      <w:r>
        <w:rPr>
          <w:i/>
          <w:spacing w:val="36"/>
        </w:rPr>
        <w:t> </w:t>
      </w:r>
      <w:r>
        <w:rPr>
          <w:i/>
        </w:rPr>
        <w:t>al</w:t>
      </w:r>
      <w:r>
        <w:rPr/>
        <w:t>., 2007).</w:t>
      </w:r>
      <w:r>
        <w:rPr>
          <w:spacing w:val="37"/>
        </w:rPr>
        <w:t> </w:t>
      </w:r>
      <w:r>
        <w:rPr/>
        <w:t>Neurotoxicity</w:t>
      </w:r>
      <w:r>
        <w:rPr>
          <w:spacing w:val="34"/>
        </w:rPr>
        <w:t> </w:t>
      </w:r>
      <w:r>
        <w:rPr/>
        <w:t>is</w:t>
      </w:r>
      <w:r>
        <w:rPr>
          <w:spacing w:val="40"/>
        </w:rPr>
        <w:t> </w:t>
      </w:r>
      <w:r>
        <w:rPr/>
        <w:t>the most prominent symptoms in any CO poisoning, other symptoms are those due to heart affectation (Samuel </w:t>
      </w:r>
      <w:r>
        <w:rPr>
          <w:i/>
        </w:rPr>
        <w:t>et al</w:t>
      </w:r>
      <w:r>
        <w:rPr/>
        <w:t>., 2007).</w:t>
      </w:r>
    </w:p>
    <w:p>
      <w:pPr>
        <w:pStyle w:val="BodyText"/>
      </w:pPr>
    </w:p>
    <w:p>
      <w:pPr>
        <w:pStyle w:val="BodyText"/>
        <w:spacing w:before="20"/>
      </w:pPr>
    </w:p>
    <w:p>
      <w:pPr>
        <w:pStyle w:val="Heading2"/>
        <w:numPr>
          <w:ilvl w:val="1"/>
          <w:numId w:val="15"/>
        </w:numPr>
        <w:tabs>
          <w:tab w:pos="1009" w:val="left" w:leader="none"/>
        </w:tabs>
        <w:spacing w:line="240" w:lineRule="auto" w:before="1" w:after="0"/>
        <w:ind w:left="1009" w:right="0" w:hanging="344"/>
        <w:jc w:val="left"/>
      </w:pPr>
      <w:bookmarkStart w:name="_TOC_250044" w:id="13"/>
      <w:r>
        <w:rPr/>
        <w:t>STATEMENT</w:t>
      </w:r>
      <w:r>
        <w:rPr>
          <w:spacing w:val="15"/>
        </w:rPr>
        <w:t> </w:t>
      </w:r>
      <w:r>
        <w:rPr/>
        <w:t>OF</w:t>
      </w:r>
      <w:r>
        <w:rPr>
          <w:spacing w:val="13"/>
        </w:rPr>
        <w:t> </w:t>
      </w:r>
      <w:r>
        <w:rPr/>
        <w:t>RESEARCH</w:t>
      </w:r>
      <w:r>
        <w:rPr>
          <w:spacing w:val="20"/>
        </w:rPr>
        <w:t> </w:t>
      </w:r>
      <w:bookmarkEnd w:id="13"/>
      <w:r>
        <w:rPr>
          <w:spacing w:val="-2"/>
        </w:rPr>
        <w:t>PROBLEM</w:t>
      </w:r>
    </w:p>
    <w:p>
      <w:pPr>
        <w:pStyle w:val="BodyText"/>
        <w:spacing w:before="7"/>
        <w:rPr>
          <w:b/>
        </w:rPr>
      </w:pPr>
    </w:p>
    <w:p>
      <w:pPr>
        <w:pStyle w:val="BodyText"/>
        <w:spacing w:line="491" w:lineRule="auto"/>
        <w:ind w:left="665" w:right="896"/>
        <w:jc w:val="both"/>
      </w:pPr>
      <w:r>
        <w:rPr/>
        <w:t>The annual global emissions of CO into</w:t>
      </w:r>
      <w:r>
        <w:rPr>
          <w:spacing w:val="20"/>
        </w:rPr>
        <w:t> </w:t>
      </w:r>
      <w:r>
        <w:rPr/>
        <w:t>the atmosphere has been estimated to be as high as</w:t>
      </w:r>
      <w:r>
        <w:rPr>
          <w:spacing w:val="35"/>
        </w:rPr>
        <w:t> </w:t>
      </w:r>
      <w:r>
        <w:rPr/>
        <w:t>2600</w:t>
      </w:r>
      <w:r>
        <w:rPr>
          <w:spacing w:val="39"/>
        </w:rPr>
        <w:t> </w:t>
      </w:r>
      <w:r>
        <w:rPr/>
        <w:t>million</w:t>
      </w:r>
      <w:r>
        <w:rPr>
          <w:spacing w:val="39"/>
        </w:rPr>
        <w:t> </w:t>
      </w:r>
      <w:r>
        <w:rPr/>
        <w:t>tonnes,</w:t>
      </w:r>
      <w:r>
        <w:rPr>
          <w:spacing w:val="37"/>
        </w:rPr>
        <w:t> </w:t>
      </w:r>
      <w:r>
        <w:rPr/>
        <w:t>out of</w:t>
      </w:r>
      <w:r>
        <w:rPr>
          <w:spacing w:val="33"/>
        </w:rPr>
        <w:t> </w:t>
      </w:r>
      <w:r>
        <w:rPr/>
        <w:t>which about</w:t>
      </w:r>
      <w:r>
        <w:rPr>
          <w:spacing w:val="36"/>
        </w:rPr>
        <w:t> </w:t>
      </w:r>
      <w:r>
        <w:rPr/>
        <w:t>60</w:t>
      </w:r>
      <w:r>
        <w:rPr>
          <w:spacing w:val="40"/>
        </w:rPr>
        <w:t> </w:t>
      </w:r>
      <w:r>
        <w:rPr/>
        <w:t>% are</w:t>
      </w:r>
      <w:r>
        <w:rPr>
          <w:spacing w:val="37"/>
        </w:rPr>
        <w:t> </w:t>
      </w:r>
      <w:r>
        <w:rPr/>
        <w:t>from</w:t>
      </w:r>
      <w:r>
        <w:rPr>
          <w:spacing w:val="39"/>
        </w:rPr>
        <w:t> </w:t>
      </w:r>
      <w:r>
        <w:rPr/>
        <w:t>human</w:t>
      </w:r>
      <w:r>
        <w:rPr>
          <w:spacing w:val="34"/>
        </w:rPr>
        <w:t> </w:t>
      </w:r>
      <w:r>
        <w:rPr/>
        <w:t>activities</w:t>
      </w:r>
      <w:r>
        <w:rPr>
          <w:spacing w:val="35"/>
        </w:rPr>
        <w:t> </w:t>
      </w:r>
      <w:r>
        <w:rPr/>
        <w:t>and</w:t>
      </w:r>
      <w:r>
        <w:rPr>
          <w:spacing w:val="39"/>
        </w:rPr>
        <w:t> </w:t>
      </w:r>
      <w:r>
        <w:rPr/>
        <w:t>40% from natural processes (USEPA, 1991).</w:t>
      </w:r>
      <w:r>
        <w:rPr>
          <w:spacing w:val="40"/>
        </w:rPr>
        <w:t> </w:t>
      </w:r>
      <w:r>
        <w:rPr/>
        <w:t>The largest proportion of human emissions is produced by exhausts of internal combustion engines, especially motor vehicles with petrol engines (United States NAAQS, 2011). The trend now is global decrease in CO</w:t>
      </w:r>
      <w:r>
        <w:rPr>
          <w:vertAlign w:val="subscript"/>
        </w:rPr>
        <w:t>2</w:t>
      </w:r>
      <w:r>
        <w:rPr>
          <w:vertAlign w:val="baseline"/>
        </w:rPr>
        <w:t> production from various human sources, as the major world producers (USA and China) cut down their production (Lindsay, 2001). As a result of increased human activity, the ambient concentrations measured especially in urban areas are high, and depend greatly</w:t>
      </w:r>
      <w:r>
        <w:rPr>
          <w:spacing w:val="80"/>
          <w:vertAlign w:val="baseline"/>
        </w:rPr>
        <w:t> </w:t>
      </w:r>
      <w:r>
        <w:rPr>
          <w:vertAlign w:val="baseline"/>
        </w:rPr>
        <w:t>on the density of vehicles, topography and weather conditions. In the streets, CO concentration</w:t>
      </w:r>
      <w:r>
        <w:rPr>
          <w:spacing w:val="40"/>
          <w:vertAlign w:val="baseline"/>
        </w:rPr>
        <w:t> </w:t>
      </w:r>
      <w:r>
        <w:rPr>
          <w:vertAlign w:val="baseline"/>
        </w:rPr>
        <w:t>varies</w:t>
      </w:r>
      <w:r>
        <w:rPr>
          <w:spacing w:val="40"/>
          <w:vertAlign w:val="baseline"/>
        </w:rPr>
        <w:t> </w:t>
      </w:r>
      <w:r>
        <w:rPr>
          <w:vertAlign w:val="baseline"/>
        </w:rPr>
        <w:t>greatly according to</w:t>
      </w:r>
      <w:r>
        <w:rPr>
          <w:spacing w:val="40"/>
          <w:vertAlign w:val="baseline"/>
        </w:rPr>
        <w:t> </w:t>
      </w:r>
      <w:r>
        <w:rPr>
          <w:vertAlign w:val="baseline"/>
        </w:rPr>
        <w:t>the</w:t>
      </w:r>
      <w:r>
        <w:rPr>
          <w:spacing w:val="40"/>
          <w:vertAlign w:val="baseline"/>
        </w:rPr>
        <w:t> </w:t>
      </w:r>
      <w:r>
        <w:rPr>
          <w:vertAlign w:val="baseline"/>
        </w:rPr>
        <w:t>vehicle density on the road and distance from the traffic (Rudolf, 1994).</w:t>
      </w:r>
    </w:p>
    <w:p>
      <w:pPr>
        <w:spacing w:after="0" w:line="491" w:lineRule="auto"/>
        <w:jc w:val="both"/>
        <w:sectPr>
          <w:pgSz w:w="12240" w:h="15840"/>
          <w:pgMar w:header="0" w:footer="916" w:top="1260" w:bottom="1100" w:left="1720" w:right="960"/>
        </w:sectPr>
      </w:pPr>
    </w:p>
    <w:p>
      <w:pPr>
        <w:pStyle w:val="BodyText"/>
        <w:spacing w:line="491" w:lineRule="auto" w:before="75"/>
        <w:ind w:left="665" w:right="893"/>
        <w:jc w:val="both"/>
      </w:pPr>
      <w:r>
        <w:rPr/>
        <w:t>As</w:t>
      </w:r>
      <w:r>
        <w:rPr>
          <w:spacing w:val="40"/>
        </w:rPr>
        <w:t> </w:t>
      </w:r>
      <w:r>
        <w:rPr/>
        <w:t>the</w:t>
      </w:r>
      <w:r>
        <w:rPr>
          <w:spacing w:val="40"/>
        </w:rPr>
        <w:t> </w:t>
      </w:r>
      <w:r>
        <w:rPr/>
        <w:t>world</w:t>
      </w:r>
      <w:r>
        <w:rPr>
          <w:spacing w:val="40"/>
        </w:rPr>
        <w:t> </w:t>
      </w:r>
      <w:r>
        <w:rPr/>
        <w:t>is</w:t>
      </w:r>
      <w:r>
        <w:rPr>
          <w:spacing w:val="40"/>
        </w:rPr>
        <w:t> </w:t>
      </w:r>
      <w:r>
        <w:rPr/>
        <w:t>going</w:t>
      </w:r>
      <w:r>
        <w:rPr>
          <w:spacing w:val="40"/>
        </w:rPr>
        <w:t> </w:t>
      </w:r>
      <w:r>
        <w:rPr/>
        <w:t>green,</w:t>
      </w:r>
      <w:r>
        <w:rPr>
          <w:spacing w:val="40"/>
        </w:rPr>
        <w:t> </w:t>
      </w:r>
      <w:r>
        <w:rPr/>
        <w:t>and</w:t>
      </w:r>
      <w:r>
        <w:rPr>
          <w:spacing w:val="40"/>
        </w:rPr>
        <w:t> </w:t>
      </w:r>
      <w:r>
        <w:rPr/>
        <w:t>transition</w:t>
      </w:r>
      <w:r>
        <w:rPr>
          <w:spacing w:val="40"/>
        </w:rPr>
        <w:t> </w:t>
      </w:r>
      <w:r>
        <w:rPr/>
        <w:t>to</w:t>
      </w:r>
      <w:r>
        <w:rPr>
          <w:spacing w:val="40"/>
        </w:rPr>
        <w:t> </w:t>
      </w:r>
      <w:r>
        <w:rPr/>
        <w:t>cleaner</w:t>
      </w:r>
      <w:r>
        <w:rPr>
          <w:spacing w:val="40"/>
        </w:rPr>
        <w:t> </w:t>
      </w:r>
      <w:r>
        <w:rPr/>
        <w:t>sources</w:t>
      </w:r>
      <w:r>
        <w:rPr>
          <w:spacing w:val="40"/>
        </w:rPr>
        <w:t> </w:t>
      </w:r>
      <w:r>
        <w:rPr/>
        <w:t>of</w:t>
      </w:r>
      <w:r>
        <w:rPr>
          <w:spacing w:val="40"/>
        </w:rPr>
        <w:t> </w:t>
      </w:r>
      <w:r>
        <w:rPr/>
        <w:t>energy and</w:t>
      </w:r>
      <w:r>
        <w:rPr>
          <w:spacing w:val="40"/>
        </w:rPr>
        <w:t> </w:t>
      </w:r>
      <w:r>
        <w:rPr/>
        <w:t>less polluting vehicle engine is showing promise, decrease in the ambient levels is expected, but the reverse is the case in Nigeria (Sunny </w:t>
      </w:r>
      <w:r>
        <w:rPr>
          <w:i/>
        </w:rPr>
        <w:t>et al</w:t>
      </w:r>
      <w:r>
        <w:rPr/>
        <w:t>., 2008). Here, increase in the</w:t>
      </w:r>
      <w:r>
        <w:rPr>
          <w:spacing w:val="40"/>
        </w:rPr>
        <w:t> </w:t>
      </w:r>
      <w:r>
        <w:rPr/>
        <w:t>importation of used</w:t>
      </w:r>
      <w:r>
        <w:rPr>
          <w:spacing w:val="22"/>
        </w:rPr>
        <w:t> </w:t>
      </w:r>
      <w:r>
        <w:rPr/>
        <w:t>vehicles and</w:t>
      </w:r>
      <w:r>
        <w:rPr>
          <w:spacing w:val="28"/>
        </w:rPr>
        <w:t> </w:t>
      </w:r>
      <w:r>
        <w:rPr/>
        <w:t>use of gasoline-powered</w:t>
      </w:r>
      <w:r>
        <w:rPr>
          <w:spacing w:val="28"/>
        </w:rPr>
        <w:t> </w:t>
      </w:r>
      <w:r>
        <w:rPr/>
        <w:t>generators as the main source of power</w:t>
      </w:r>
      <w:r>
        <w:rPr>
          <w:spacing w:val="30"/>
        </w:rPr>
        <w:t> </w:t>
      </w:r>
      <w:r>
        <w:rPr/>
        <w:t>are</w:t>
      </w:r>
      <w:r>
        <w:rPr>
          <w:spacing w:val="29"/>
        </w:rPr>
        <w:t> </w:t>
      </w:r>
      <w:r>
        <w:rPr/>
        <w:t>among the</w:t>
      </w:r>
      <w:r>
        <w:rPr>
          <w:spacing w:val="40"/>
        </w:rPr>
        <w:t> </w:t>
      </w:r>
      <w:r>
        <w:rPr/>
        <w:t>highest</w:t>
      </w:r>
      <w:r>
        <w:rPr>
          <w:spacing w:val="33"/>
        </w:rPr>
        <w:t> </w:t>
      </w:r>
      <w:r>
        <w:rPr/>
        <w:t>contributing</w:t>
      </w:r>
      <w:r>
        <w:rPr>
          <w:spacing w:val="31"/>
        </w:rPr>
        <w:t> </w:t>
      </w:r>
      <w:r>
        <w:rPr/>
        <w:t>factors to</w:t>
      </w:r>
      <w:r>
        <w:rPr>
          <w:spacing w:val="31"/>
        </w:rPr>
        <w:t> </w:t>
      </w:r>
      <w:r>
        <w:rPr/>
        <w:t>the</w:t>
      </w:r>
      <w:r>
        <w:rPr>
          <w:spacing w:val="29"/>
        </w:rPr>
        <w:t> </w:t>
      </w:r>
      <w:r>
        <w:rPr/>
        <w:t>increasing trend</w:t>
      </w:r>
      <w:r>
        <w:rPr>
          <w:spacing w:val="37"/>
        </w:rPr>
        <w:t> </w:t>
      </w:r>
      <w:r>
        <w:rPr/>
        <w:t>in</w:t>
      </w:r>
      <w:r>
        <w:rPr>
          <w:spacing w:val="31"/>
        </w:rPr>
        <w:t> </w:t>
      </w:r>
      <w:r>
        <w:rPr/>
        <w:t>ambient CO</w:t>
      </w:r>
      <w:r>
        <w:rPr>
          <w:spacing w:val="35"/>
        </w:rPr>
        <w:t> </w:t>
      </w:r>
      <w:r>
        <w:rPr/>
        <w:t>level</w:t>
      </w:r>
      <w:r>
        <w:rPr>
          <w:spacing w:val="22"/>
        </w:rPr>
        <w:t> </w:t>
      </w:r>
      <w:r>
        <w:rPr/>
        <w:t>(Akinbami</w:t>
      </w:r>
      <w:r>
        <w:rPr>
          <w:spacing w:val="23"/>
        </w:rPr>
        <w:t> </w:t>
      </w:r>
      <w:r>
        <w:rPr>
          <w:i/>
        </w:rPr>
        <w:t>et</w:t>
      </w:r>
      <w:r>
        <w:rPr>
          <w:i/>
          <w:spacing w:val="34"/>
        </w:rPr>
        <w:t> </w:t>
      </w:r>
      <w:r>
        <w:rPr>
          <w:i/>
        </w:rPr>
        <w:t>al.</w:t>
      </w:r>
      <w:r>
        <w:rPr/>
        <w:t>,</w:t>
      </w:r>
      <w:r>
        <w:rPr>
          <w:spacing w:val="24"/>
        </w:rPr>
        <w:t> </w:t>
      </w:r>
      <w:r>
        <w:rPr/>
        <w:t>2001).</w:t>
      </w:r>
      <w:r>
        <w:rPr>
          <w:spacing w:val="35"/>
        </w:rPr>
        <w:t> </w:t>
      </w:r>
      <w:r>
        <w:rPr/>
        <w:t>There</w:t>
      </w:r>
      <w:r>
        <w:rPr>
          <w:spacing w:val="29"/>
        </w:rPr>
        <w:t> </w:t>
      </w:r>
      <w:r>
        <w:rPr/>
        <w:t>is</w:t>
      </w:r>
      <w:r>
        <w:rPr>
          <w:spacing w:val="32"/>
        </w:rPr>
        <w:t> </w:t>
      </w:r>
      <w:r>
        <w:rPr/>
        <w:t>general</w:t>
      </w:r>
      <w:r>
        <w:rPr>
          <w:spacing w:val="22"/>
        </w:rPr>
        <w:t> </w:t>
      </w:r>
      <w:r>
        <w:rPr/>
        <w:t>over</w:t>
      </w:r>
      <w:r>
        <w:rPr>
          <w:spacing w:val="30"/>
        </w:rPr>
        <w:t> </w:t>
      </w:r>
      <w:r>
        <w:rPr/>
        <w:t>reliance</w:t>
      </w:r>
      <w:r>
        <w:rPr>
          <w:spacing w:val="29"/>
        </w:rPr>
        <w:t> </w:t>
      </w:r>
      <w:r>
        <w:rPr/>
        <w:t>on</w:t>
      </w:r>
      <w:r>
        <w:rPr>
          <w:spacing w:val="19"/>
        </w:rPr>
        <w:t> </w:t>
      </w:r>
      <w:r>
        <w:rPr/>
        <w:t>biomass</w:t>
      </w:r>
      <w:r>
        <w:rPr>
          <w:spacing w:val="32"/>
        </w:rPr>
        <w:t> </w:t>
      </w:r>
      <w:r>
        <w:rPr/>
        <w:t>as</w:t>
      </w:r>
      <w:r>
        <w:rPr>
          <w:spacing w:val="32"/>
        </w:rPr>
        <w:t> </w:t>
      </w:r>
      <w:r>
        <w:rPr/>
        <w:t>source of</w:t>
      </w:r>
      <w:r>
        <w:rPr>
          <w:spacing w:val="36"/>
        </w:rPr>
        <w:t> </w:t>
      </w:r>
      <w:r>
        <w:rPr/>
        <w:t>energy</w:t>
      </w:r>
      <w:r>
        <w:rPr>
          <w:spacing w:val="31"/>
        </w:rPr>
        <w:t> </w:t>
      </w:r>
      <w:r>
        <w:rPr/>
        <w:t>in</w:t>
      </w:r>
      <w:r>
        <w:rPr>
          <w:spacing w:val="37"/>
        </w:rPr>
        <w:t> </w:t>
      </w:r>
      <w:r>
        <w:rPr/>
        <w:t>the</w:t>
      </w:r>
      <w:r>
        <w:rPr>
          <w:spacing w:val="34"/>
        </w:rPr>
        <w:t> </w:t>
      </w:r>
      <w:r>
        <w:rPr/>
        <w:t>developing</w:t>
      </w:r>
      <w:r>
        <w:rPr>
          <w:spacing w:val="40"/>
        </w:rPr>
        <w:t> </w:t>
      </w:r>
      <w:r>
        <w:rPr/>
        <w:t>countries</w:t>
      </w:r>
      <w:r>
        <w:rPr>
          <w:spacing w:val="40"/>
        </w:rPr>
        <w:t> </w:t>
      </w:r>
      <w:r>
        <w:rPr/>
        <w:t>(Bruce</w:t>
      </w:r>
      <w:r>
        <w:rPr>
          <w:spacing w:val="37"/>
        </w:rPr>
        <w:t> </w:t>
      </w:r>
      <w:r>
        <w:rPr>
          <w:i/>
        </w:rPr>
        <w:t>et</w:t>
      </w:r>
      <w:r>
        <w:rPr>
          <w:i/>
          <w:spacing w:val="40"/>
        </w:rPr>
        <w:t> </w:t>
      </w:r>
      <w:r>
        <w:rPr>
          <w:i/>
        </w:rPr>
        <w:t>al.</w:t>
      </w:r>
      <w:r>
        <w:rPr/>
        <w:t>,</w:t>
      </w:r>
      <w:r>
        <w:rPr>
          <w:spacing w:val="34"/>
        </w:rPr>
        <w:t> </w:t>
      </w:r>
      <w:r>
        <w:rPr/>
        <w:t>2000).</w:t>
      </w:r>
      <w:r>
        <w:rPr>
          <w:spacing w:val="40"/>
        </w:rPr>
        <w:t> </w:t>
      </w:r>
      <w:r>
        <w:rPr/>
        <w:t>In</w:t>
      </w:r>
      <w:r>
        <w:rPr>
          <w:spacing w:val="37"/>
        </w:rPr>
        <w:t> </w:t>
      </w:r>
      <w:r>
        <w:rPr/>
        <w:t>Nigeria,</w:t>
      </w:r>
      <w:r>
        <w:rPr>
          <w:spacing w:val="40"/>
        </w:rPr>
        <w:t> </w:t>
      </w:r>
      <w:r>
        <w:rPr/>
        <w:t>people</w:t>
      </w:r>
      <w:r>
        <w:rPr>
          <w:spacing w:val="40"/>
        </w:rPr>
        <w:t> </w:t>
      </w:r>
      <w:r>
        <w:rPr/>
        <w:t>rely</w:t>
      </w:r>
      <w:r>
        <w:rPr>
          <w:spacing w:val="31"/>
        </w:rPr>
        <w:t> </w:t>
      </w:r>
      <w:r>
        <w:rPr/>
        <w:t>on coal and</w:t>
      </w:r>
      <w:r>
        <w:rPr>
          <w:spacing w:val="40"/>
        </w:rPr>
        <w:t> </w:t>
      </w:r>
      <w:r>
        <w:rPr/>
        <w:t>biomass in the form</w:t>
      </w:r>
      <w:r>
        <w:rPr>
          <w:spacing w:val="40"/>
        </w:rPr>
        <w:t> </w:t>
      </w:r>
      <w:r>
        <w:rPr/>
        <w:t>of wood, dung and</w:t>
      </w:r>
      <w:r>
        <w:rPr>
          <w:spacing w:val="40"/>
        </w:rPr>
        <w:t> </w:t>
      </w:r>
      <w:r>
        <w:rPr/>
        <w:t>crop residues for domestic energy supply. These materials are burnt indoors in an open fires or poorly functioning stoves (WHO, 2004). Exposure to indoor pollution may be responsible for nearly 2 million</w:t>
      </w:r>
      <w:r>
        <w:rPr>
          <w:spacing w:val="40"/>
        </w:rPr>
        <w:t> </w:t>
      </w:r>
      <w:r>
        <w:rPr/>
        <w:t>deaths in developing countries and 4 % of the global burden of disease (Bruce </w:t>
      </w:r>
      <w:r>
        <w:rPr>
          <w:i/>
        </w:rPr>
        <w:t>et al</w:t>
      </w:r>
      <w:r>
        <w:rPr/>
        <w:t>.,</w:t>
      </w:r>
      <w:r>
        <w:rPr>
          <w:spacing w:val="40"/>
        </w:rPr>
        <w:t> </w:t>
      </w:r>
      <w:r>
        <w:rPr>
          <w:spacing w:val="-2"/>
        </w:rPr>
        <w:t>2000).</w:t>
      </w:r>
    </w:p>
    <w:p>
      <w:pPr>
        <w:pStyle w:val="BodyText"/>
      </w:pPr>
    </w:p>
    <w:p>
      <w:pPr>
        <w:pStyle w:val="BodyText"/>
        <w:spacing w:before="15"/>
      </w:pPr>
    </w:p>
    <w:p>
      <w:pPr>
        <w:pStyle w:val="BodyText"/>
        <w:spacing w:line="491" w:lineRule="auto"/>
        <w:ind w:left="665" w:right="901"/>
        <w:jc w:val="both"/>
      </w:pPr>
      <w:r>
        <w:rPr/>
        <w:t>Carbon</w:t>
      </w:r>
      <w:r>
        <w:rPr>
          <w:spacing w:val="23"/>
        </w:rPr>
        <w:t> </w:t>
      </w:r>
      <w:r>
        <w:rPr/>
        <w:t>monoxide</w:t>
      </w:r>
      <w:r>
        <w:rPr>
          <w:spacing w:val="27"/>
        </w:rPr>
        <w:t> </w:t>
      </w:r>
      <w:r>
        <w:rPr/>
        <w:t>poisoning</w:t>
      </w:r>
      <w:r>
        <w:rPr>
          <w:spacing w:val="29"/>
        </w:rPr>
        <w:t> </w:t>
      </w:r>
      <w:r>
        <w:rPr/>
        <w:t>accounts</w:t>
      </w:r>
      <w:r>
        <w:rPr>
          <w:spacing w:val="30"/>
        </w:rPr>
        <w:t> </w:t>
      </w:r>
      <w:r>
        <w:rPr/>
        <w:t>for</w:t>
      </w:r>
      <w:r>
        <w:rPr>
          <w:spacing w:val="27"/>
        </w:rPr>
        <w:t> </w:t>
      </w:r>
      <w:r>
        <w:rPr/>
        <w:t>50,000</w:t>
      </w:r>
      <w:r>
        <w:rPr>
          <w:spacing w:val="35"/>
        </w:rPr>
        <w:t> </w:t>
      </w:r>
      <w:r>
        <w:rPr/>
        <w:t>emergency</w:t>
      </w:r>
      <w:r>
        <w:rPr>
          <w:spacing w:val="23"/>
        </w:rPr>
        <w:t> </w:t>
      </w:r>
      <w:r>
        <w:rPr/>
        <w:t>department</w:t>
      </w:r>
      <w:r>
        <w:rPr>
          <w:spacing w:val="31"/>
        </w:rPr>
        <w:t> </w:t>
      </w:r>
      <w:r>
        <w:rPr/>
        <w:t>visits</w:t>
      </w:r>
      <w:r>
        <w:rPr>
          <w:spacing w:val="30"/>
        </w:rPr>
        <w:t> </w:t>
      </w:r>
      <w:r>
        <w:rPr/>
        <w:t>per</w:t>
      </w:r>
      <w:r>
        <w:rPr>
          <w:spacing w:val="40"/>
        </w:rPr>
        <w:t> </w:t>
      </w:r>
      <w:r>
        <w:rPr/>
        <w:t>year in the United States and is the most common cause of death due to poisoning in the country (Hampson </w:t>
      </w:r>
      <w:r>
        <w:rPr>
          <w:i/>
        </w:rPr>
        <w:t>et al.</w:t>
      </w:r>
      <w:r>
        <w:rPr/>
        <w:t>, 1996). Even with paucity of data (Ajayi </w:t>
      </w:r>
      <w:r>
        <w:rPr>
          <w:i/>
        </w:rPr>
        <w:t>et al</w:t>
      </w:r>
      <w:r>
        <w:rPr/>
        <w:t>., 2002), high amounts of CO were recorded in some cities in Nigeria. Ambient levels in Ibadan city alone</w:t>
      </w:r>
      <w:r>
        <w:rPr>
          <w:spacing w:val="19"/>
        </w:rPr>
        <w:t> </w:t>
      </w:r>
      <w:r>
        <w:rPr/>
        <w:t>were</w:t>
      </w:r>
      <w:r>
        <w:rPr>
          <w:spacing w:val="16"/>
        </w:rPr>
        <w:t> </w:t>
      </w:r>
      <w:r>
        <w:rPr/>
        <w:t>between</w:t>
      </w:r>
      <w:r>
        <w:rPr>
          <w:spacing w:val="6"/>
        </w:rPr>
        <w:t> </w:t>
      </w:r>
      <w:r>
        <w:rPr/>
        <w:t>3</w:t>
      </w:r>
      <w:r>
        <w:rPr>
          <w:spacing w:val="22"/>
        </w:rPr>
        <w:t> </w:t>
      </w:r>
      <w:r>
        <w:rPr/>
        <w:t>and</w:t>
      </w:r>
      <w:r>
        <w:rPr>
          <w:spacing w:val="22"/>
        </w:rPr>
        <w:t> </w:t>
      </w:r>
      <w:r>
        <w:rPr/>
        <w:t>55</w:t>
      </w:r>
      <w:r>
        <w:rPr>
          <w:spacing w:val="17"/>
        </w:rPr>
        <w:t> </w:t>
      </w:r>
      <w:r>
        <w:rPr/>
        <w:t>ppm</w:t>
      </w:r>
      <w:r>
        <w:rPr>
          <w:spacing w:val="16"/>
        </w:rPr>
        <w:t> </w:t>
      </w:r>
      <w:r>
        <w:rPr/>
        <w:t>with</w:t>
      </w:r>
      <w:r>
        <w:rPr>
          <w:spacing w:val="12"/>
        </w:rPr>
        <w:t> </w:t>
      </w:r>
      <w:r>
        <w:rPr/>
        <w:t>a</w:t>
      </w:r>
      <w:r>
        <w:rPr>
          <w:spacing w:val="15"/>
        </w:rPr>
        <w:t> </w:t>
      </w:r>
      <w:r>
        <w:rPr/>
        <w:t>mean</w:t>
      </w:r>
      <w:r>
        <w:rPr>
          <w:spacing w:val="18"/>
        </w:rPr>
        <w:t> </w:t>
      </w:r>
      <w:r>
        <w:rPr/>
        <w:t>value</w:t>
      </w:r>
      <w:r>
        <w:rPr>
          <w:spacing w:val="15"/>
        </w:rPr>
        <w:t> </w:t>
      </w:r>
      <w:r>
        <w:rPr/>
        <w:t>and</w:t>
      </w:r>
      <w:r>
        <w:rPr>
          <w:spacing w:val="22"/>
        </w:rPr>
        <w:t> </w:t>
      </w:r>
      <w:r>
        <w:rPr/>
        <w:t>standard</w:t>
      </w:r>
      <w:r>
        <w:rPr>
          <w:spacing w:val="17"/>
        </w:rPr>
        <w:t> </w:t>
      </w:r>
      <w:r>
        <w:rPr/>
        <w:t>deviation</w:t>
      </w:r>
      <w:r>
        <w:rPr>
          <w:spacing w:val="12"/>
        </w:rPr>
        <w:t> </w:t>
      </w:r>
      <w:r>
        <w:rPr/>
        <w:t>of</w:t>
      </w:r>
      <w:r>
        <w:rPr>
          <w:spacing w:val="11"/>
        </w:rPr>
        <w:t> </w:t>
      </w:r>
      <w:r>
        <w:rPr/>
        <w:t>20.12</w:t>
      </w:r>
      <w:r>
        <w:rPr>
          <w:spacing w:val="16"/>
        </w:rPr>
        <w:t> </w:t>
      </w:r>
      <w:r>
        <w:rPr>
          <w:spacing w:val="-10"/>
        </w:rPr>
        <w:t>±</w:t>
      </w:r>
    </w:p>
    <w:p>
      <w:pPr>
        <w:pStyle w:val="BodyText"/>
        <w:spacing w:line="491" w:lineRule="auto"/>
        <w:ind w:left="665" w:right="900"/>
        <w:jc w:val="both"/>
      </w:pPr>
      <w:r>
        <w:rPr/>
        <w:t>1.40 ppm (Sunny </w:t>
      </w:r>
      <w:r>
        <w:rPr>
          <w:i/>
        </w:rPr>
        <w:t>et al</w:t>
      </w:r>
      <w:r>
        <w:rPr/>
        <w:t>., 2008). The highest</w:t>
      </w:r>
      <w:r>
        <w:rPr>
          <w:spacing w:val="40"/>
        </w:rPr>
        <w:t> </w:t>
      </w:r>
      <w:r>
        <w:rPr/>
        <w:t>value (55 ppm) was observed on the</w:t>
      </w:r>
      <w:r>
        <w:rPr>
          <w:spacing w:val="40"/>
        </w:rPr>
        <w:t> </w:t>
      </w:r>
      <w:r>
        <w:rPr/>
        <w:t>highways. Carboxyhaemoglobin (COHb) concentrations were between 0.7 and 6.5 %</w:t>
      </w:r>
      <w:r>
        <w:rPr>
          <w:spacing w:val="80"/>
        </w:rPr>
        <w:t> </w:t>
      </w:r>
      <w:r>
        <w:rPr/>
        <w:t>with</w:t>
      </w:r>
      <w:r>
        <w:rPr>
          <w:spacing w:val="36"/>
        </w:rPr>
        <w:t> </w:t>
      </w:r>
      <w:r>
        <w:rPr/>
        <w:t>a mean</w:t>
      </w:r>
      <w:r>
        <w:rPr>
          <w:spacing w:val="40"/>
        </w:rPr>
        <w:t> </w:t>
      </w:r>
      <w:r>
        <w:rPr/>
        <w:t>value</w:t>
      </w:r>
      <w:r>
        <w:rPr>
          <w:spacing w:val="39"/>
        </w:rPr>
        <w:t> </w:t>
      </w:r>
      <w:r>
        <w:rPr/>
        <w:t>and</w:t>
      </w:r>
      <w:r>
        <w:rPr>
          <w:spacing w:val="40"/>
        </w:rPr>
        <w:t> </w:t>
      </w:r>
      <w:r>
        <w:rPr/>
        <w:t>standard deviation of 2.0 ±</w:t>
      </w:r>
      <w:r>
        <w:rPr>
          <w:spacing w:val="40"/>
        </w:rPr>
        <w:t> </w:t>
      </w:r>
      <w:r>
        <w:rPr/>
        <w:t>0.68</w:t>
      </w:r>
      <w:r>
        <w:rPr>
          <w:spacing w:val="40"/>
        </w:rPr>
        <w:t> </w:t>
      </w:r>
      <w:r>
        <w:rPr/>
        <w:t>%</w:t>
      </w:r>
      <w:r>
        <w:rPr>
          <w:spacing w:val="39"/>
        </w:rPr>
        <w:t> </w:t>
      </w:r>
      <w:r>
        <w:rPr/>
        <w:t>(Sunny </w:t>
      </w:r>
      <w:r>
        <w:rPr>
          <w:i/>
        </w:rPr>
        <w:t>et</w:t>
      </w:r>
      <w:r>
        <w:rPr>
          <w:i/>
          <w:spacing w:val="39"/>
        </w:rPr>
        <w:t> </w:t>
      </w:r>
      <w:r>
        <w:rPr>
          <w:i/>
        </w:rPr>
        <w:t>al</w:t>
      </w:r>
      <w:r>
        <w:rPr/>
        <w:t>.,</w:t>
      </w:r>
      <w:r>
        <w:rPr>
          <w:spacing w:val="40"/>
        </w:rPr>
        <w:t> </w:t>
      </w:r>
      <w:r>
        <w:rPr/>
        <w:t>2008).</w:t>
      </w:r>
      <w:r>
        <w:rPr>
          <w:spacing w:val="40"/>
        </w:rPr>
        <w:t> </w:t>
      </w:r>
      <w:r>
        <w:rPr/>
        <w:t>The above</w:t>
      </w:r>
      <w:r>
        <w:rPr>
          <w:spacing w:val="40"/>
        </w:rPr>
        <w:t> </w:t>
      </w:r>
      <w:r>
        <w:rPr/>
        <w:t>values</w:t>
      </w:r>
      <w:r>
        <w:rPr>
          <w:spacing w:val="40"/>
        </w:rPr>
        <w:t> </w:t>
      </w:r>
      <w:r>
        <w:rPr/>
        <w:t>are</w:t>
      </w:r>
      <w:r>
        <w:rPr>
          <w:spacing w:val="40"/>
        </w:rPr>
        <w:t> </w:t>
      </w:r>
      <w:r>
        <w:rPr/>
        <w:t>by far</w:t>
      </w:r>
      <w:r>
        <w:rPr>
          <w:spacing w:val="40"/>
        </w:rPr>
        <w:t> </w:t>
      </w:r>
      <w:r>
        <w:rPr/>
        <w:t>beyond</w:t>
      </w:r>
      <w:r>
        <w:rPr>
          <w:spacing w:val="40"/>
        </w:rPr>
        <w:t> </w:t>
      </w:r>
      <w:r>
        <w:rPr/>
        <w:t>the</w:t>
      </w:r>
      <w:r>
        <w:rPr>
          <w:spacing w:val="40"/>
        </w:rPr>
        <w:t> </w:t>
      </w:r>
      <w:r>
        <w:rPr/>
        <w:t>United</w:t>
      </w:r>
      <w:r>
        <w:rPr>
          <w:spacing w:val="40"/>
        </w:rPr>
        <w:t> </w:t>
      </w:r>
      <w:r>
        <w:rPr/>
        <w:t>States</w:t>
      </w:r>
      <w:r>
        <w:rPr>
          <w:spacing w:val="40"/>
        </w:rPr>
        <w:t> </w:t>
      </w:r>
      <w:r>
        <w:rPr/>
        <w:t>National</w:t>
      </w:r>
      <w:r>
        <w:rPr>
          <w:spacing w:val="40"/>
        </w:rPr>
        <w:t> </w:t>
      </w:r>
      <w:r>
        <w:rPr/>
        <w:t>Ambient</w:t>
      </w:r>
      <w:r>
        <w:rPr>
          <w:spacing w:val="40"/>
        </w:rPr>
        <w:t> </w:t>
      </w:r>
      <w:r>
        <w:rPr/>
        <w:t>Air</w:t>
      </w:r>
      <w:r>
        <w:rPr>
          <w:spacing w:val="40"/>
        </w:rPr>
        <w:t> </w:t>
      </w:r>
      <w:r>
        <w:rPr/>
        <w:t>Quality Standards (United States NAAQS) for outdoor air; which is 9 ppm for 8 hours, and 35</w:t>
      </w:r>
      <w:r>
        <w:rPr>
          <w:spacing w:val="40"/>
        </w:rPr>
        <w:t> </w:t>
      </w:r>
      <w:r>
        <w:rPr/>
        <w:t>ppm for 1 hour. The average indoor CO values measured in Kano State of Nigeria were between</w:t>
      </w:r>
      <w:r>
        <w:rPr>
          <w:spacing w:val="12"/>
        </w:rPr>
        <w:t> </w:t>
      </w:r>
      <w:r>
        <w:rPr/>
        <w:t>4.93</w:t>
      </w:r>
      <w:r>
        <w:rPr>
          <w:spacing w:val="23"/>
        </w:rPr>
        <w:t> </w:t>
      </w:r>
      <w:r>
        <w:rPr/>
        <w:t>µg/m</w:t>
      </w:r>
      <w:r>
        <w:rPr>
          <w:vertAlign w:val="superscript"/>
        </w:rPr>
        <w:t>3</w:t>
      </w:r>
      <w:r>
        <w:rPr>
          <w:spacing w:val="23"/>
          <w:vertAlign w:val="baseline"/>
        </w:rPr>
        <w:t> </w:t>
      </w:r>
      <w:r>
        <w:rPr>
          <w:vertAlign w:val="baseline"/>
        </w:rPr>
        <w:t>in</w:t>
      </w:r>
      <w:r>
        <w:rPr>
          <w:spacing w:val="18"/>
          <w:vertAlign w:val="baseline"/>
        </w:rPr>
        <w:t> </w:t>
      </w:r>
      <w:r>
        <w:rPr>
          <w:vertAlign w:val="baseline"/>
        </w:rPr>
        <w:t>the</w:t>
      </w:r>
      <w:r>
        <w:rPr>
          <w:spacing w:val="21"/>
          <w:vertAlign w:val="baseline"/>
        </w:rPr>
        <w:t> </w:t>
      </w:r>
      <w:r>
        <w:rPr>
          <w:vertAlign w:val="baseline"/>
        </w:rPr>
        <w:t>municipality</w:t>
      </w:r>
      <w:r>
        <w:rPr>
          <w:spacing w:val="13"/>
          <w:vertAlign w:val="baseline"/>
        </w:rPr>
        <w:t> </w:t>
      </w:r>
      <w:r>
        <w:rPr>
          <w:vertAlign w:val="baseline"/>
        </w:rPr>
        <w:t>and</w:t>
      </w:r>
      <w:r>
        <w:rPr>
          <w:spacing w:val="29"/>
          <w:vertAlign w:val="baseline"/>
        </w:rPr>
        <w:t> </w:t>
      </w:r>
      <w:r>
        <w:rPr>
          <w:vertAlign w:val="baseline"/>
        </w:rPr>
        <w:t>5.49</w:t>
      </w:r>
      <w:r>
        <w:rPr>
          <w:spacing w:val="23"/>
          <w:vertAlign w:val="baseline"/>
        </w:rPr>
        <w:t> </w:t>
      </w:r>
      <w:r>
        <w:rPr>
          <w:vertAlign w:val="baseline"/>
        </w:rPr>
        <w:t>µg/m</w:t>
      </w:r>
      <w:r>
        <w:rPr>
          <w:vertAlign w:val="superscript"/>
        </w:rPr>
        <w:t>3</w:t>
      </w:r>
      <w:r>
        <w:rPr>
          <w:spacing w:val="7"/>
          <w:vertAlign w:val="baseline"/>
        </w:rPr>
        <w:t> </w:t>
      </w:r>
      <w:r>
        <w:rPr>
          <w:vertAlign w:val="baseline"/>
        </w:rPr>
        <w:t>in</w:t>
      </w:r>
      <w:r>
        <w:rPr>
          <w:spacing w:val="13"/>
          <w:vertAlign w:val="baseline"/>
        </w:rPr>
        <w:t> </w:t>
      </w:r>
      <w:r>
        <w:rPr>
          <w:vertAlign w:val="baseline"/>
        </w:rPr>
        <w:t>Sabon</w:t>
      </w:r>
      <w:r>
        <w:rPr>
          <w:spacing w:val="18"/>
          <w:vertAlign w:val="baseline"/>
        </w:rPr>
        <w:t> </w:t>
      </w:r>
      <w:r>
        <w:rPr>
          <w:vertAlign w:val="baseline"/>
        </w:rPr>
        <w:t>Gari</w:t>
      </w:r>
      <w:r>
        <w:rPr>
          <w:spacing w:val="21"/>
          <w:vertAlign w:val="baseline"/>
        </w:rPr>
        <w:t> </w:t>
      </w:r>
      <w:r>
        <w:rPr>
          <w:vertAlign w:val="baseline"/>
        </w:rPr>
        <w:t>area</w:t>
      </w:r>
      <w:r>
        <w:rPr>
          <w:spacing w:val="20"/>
          <w:vertAlign w:val="baseline"/>
        </w:rPr>
        <w:t> </w:t>
      </w:r>
      <w:r>
        <w:rPr>
          <w:vertAlign w:val="baseline"/>
        </w:rPr>
        <w:t>of</w:t>
      </w:r>
      <w:r>
        <w:rPr>
          <w:spacing w:val="18"/>
          <w:vertAlign w:val="baseline"/>
        </w:rPr>
        <w:t> </w:t>
      </w:r>
      <w:r>
        <w:rPr>
          <w:vertAlign w:val="baseline"/>
        </w:rPr>
        <w:t>the</w:t>
      </w:r>
      <w:r>
        <w:rPr>
          <w:spacing w:val="20"/>
          <w:vertAlign w:val="baseline"/>
        </w:rPr>
        <w:t> </w:t>
      </w:r>
      <w:r>
        <w:rPr>
          <w:spacing w:val="-2"/>
          <w:vertAlign w:val="baseline"/>
        </w:rPr>
        <w:t>State</w:t>
      </w:r>
    </w:p>
    <w:p>
      <w:pPr>
        <w:spacing w:after="0" w:line="491" w:lineRule="auto"/>
        <w:jc w:val="both"/>
        <w:sectPr>
          <w:pgSz w:w="12240" w:h="15840"/>
          <w:pgMar w:header="0" w:footer="916" w:top="1260" w:bottom="1100" w:left="1720" w:right="960"/>
        </w:sectPr>
      </w:pPr>
    </w:p>
    <w:p>
      <w:pPr>
        <w:pStyle w:val="BodyText"/>
        <w:spacing w:line="491" w:lineRule="auto" w:before="75"/>
        <w:ind w:left="665" w:right="899"/>
        <w:jc w:val="both"/>
      </w:pPr>
      <w:r>
        <w:rPr/>
        <w:t>(Ayodele </w:t>
      </w:r>
      <w:r>
        <w:rPr>
          <w:i/>
        </w:rPr>
        <w:t>et al</w:t>
      </w:r>
      <w:r>
        <w:rPr/>
        <w:t>., 2007). There is yet no standard for CO that has been agreed upon for indoor air (United States NAAQS, 2011) to make comparison.</w:t>
      </w:r>
    </w:p>
    <w:p>
      <w:pPr>
        <w:pStyle w:val="BodyText"/>
      </w:pPr>
    </w:p>
    <w:p>
      <w:pPr>
        <w:pStyle w:val="BodyText"/>
        <w:spacing w:before="12"/>
      </w:pPr>
    </w:p>
    <w:p>
      <w:pPr>
        <w:pStyle w:val="BodyText"/>
        <w:spacing w:line="491" w:lineRule="auto"/>
        <w:ind w:left="665" w:right="895"/>
        <w:jc w:val="both"/>
      </w:pPr>
      <w:r>
        <w:rPr/>
        <w:t>There</w:t>
      </w:r>
      <w:r>
        <w:rPr>
          <w:spacing w:val="18"/>
        </w:rPr>
        <w:t> </w:t>
      </w:r>
      <w:r>
        <w:rPr/>
        <w:t>was</w:t>
      </w:r>
      <w:r>
        <w:rPr>
          <w:spacing w:val="27"/>
        </w:rPr>
        <w:t> </w:t>
      </w:r>
      <w:r>
        <w:rPr/>
        <w:t>paucity</w:t>
      </w:r>
      <w:r>
        <w:rPr>
          <w:spacing w:val="15"/>
        </w:rPr>
        <w:t> </w:t>
      </w:r>
      <w:r>
        <w:rPr/>
        <w:t>of</w:t>
      </w:r>
      <w:r>
        <w:rPr>
          <w:spacing w:val="24"/>
        </w:rPr>
        <w:t> </w:t>
      </w:r>
      <w:r>
        <w:rPr/>
        <w:t>reported</w:t>
      </w:r>
      <w:r>
        <w:rPr>
          <w:spacing w:val="33"/>
        </w:rPr>
        <w:t> </w:t>
      </w:r>
      <w:r>
        <w:rPr/>
        <w:t>data</w:t>
      </w:r>
      <w:r>
        <w:rPr>
          <w:spacing w:val="18"/>
        </w:rPr>
        <w:t> </w:t>
      </w:r>
      <w:r>
        <w:rPr/>
        <w:t>on</w:t>
      </w:r>
      <w:r>
        <w:rPr>
          <w:spacing w:val="21"/>
        </w:rPr>
        <w:t> </w:t>
      </w:r>
      <w:r>
        <w:rPr/>
        <w:t>the</w:t>
      </w:r>
      <w:r>
        <w:rPr>
          <w:spacing w:val="23"/>
        </w:rPr>
        <w:t> </w:t>
      </w:r>
      <w:r>
        <w:rPr/>
        <w:t>incidence</w:t>
      </w:r>
      <w:r>
        <w:rPr>
          <w:spacing w:val="23"/>
        </w:rPr>
        <w:t> </w:t>
      </w:r>
      <w:r>
        <w:rPr/>
        <w:t>of</w:t>
      </w:r>
      <w:r>
        <w:rPr>
          <w:spacing w:val="20"/>
        </w:rPr>
        <w:t> </w:t>
      </w:r>
      <w:r>
        <w:rPr/>
        <w:t>acute</w:t>
      </w:r>
      <w:r>
        <w:rPr>
          <w:spacing w:val="23"/>
        </w:rPr>
        <w:t> </w:t>
      </w:r>
      <w:r>
        <w:rPr/>
        <w:t>or</w:t>
      </w:r>
      <w:r>
        <w:rPr>
          <w:spacing w:val="24"/>
        </w:rPr>
        <w:t> </w:t>
      </w:r>
      <w:r>
        <w:rPr/>
        <w:t>that</w:t>
      </w:r>
      <w:r>
        <w:rPr>
          <w:spacing w:val="23"/>
        </w:rPr>
        <w:t> </w:t>
      </w:r>
      <w:r>
        <w:rPr/>
        <w:t>of</w:t>
      </w:r>
      <w:r>
        <w:rPr>
          <w:spacing w:val="20"/>
        </w:rPr>
        <w:t> </w:t>
      </w:r>
      <w:r>
        <w:rPr/>
        <w:t>chronic</w:t>
      </w:r>
      <w:r>
        <w:rPr>
          <w:spacing w:val="23"/>
        </w:rPr>
        <w:t> </w:t>
      </w:r>
      <w:r>
        <w:rPr/>
        <w:t>toxicity in Nigeria. The few suspected cases of acute CO poisoning brought to hospitals were grossly underestimated (Augustine, 2002). This is because the symptoms for CO</w:t>
      </w:r>
      <w:r>
        <w:rPr>
          <w:spacing w:val="40"/>
        </w:rPr>
        <w:t> </w:t>
      </w:r>
      <w:r>
        <w:rPr/>
        <w:t>poisoning</w:t>
      </w:r>
      <w:r>
        <w:rPr>
          <w:spacing w:val="40"/>
        </w:rPr>
        <w:t> </w:t>
      </w:r>
      <w:r>
        <w:rPr/>
        <w:t>are</w:t>
      </w:r>
      <w:r>
        <w:rPr>
          <w:spacing w:val="40"/>
        </w:rPr>
        <w:t> </w:t>
      </w:r>
      <w:r>
        <w:rPr/>
        <w:t>general</w:t>
      </w:r>
      <w:r>
        <w:rPr>
          <w:spacing w:val="40"/>
        </w:rPr>
        <w:t> </w:t>
      </w:r>
      <w:r>
        <w:rPr/>
        <w:t>symptoms</w:t>
      </w:r>
      <w:r>
        <w:rPr>
          <w:spacing w:val="40"/>
        </w:rPr>
        <w:t> </w:t>
      </w:r>
      <w:r>
        <w:rPr/>
        <w:t>(Samauel</w:t>
      </w:r>
      <w:r>
        <w:rPr>
          <w:spacing w:val="40"/>
        </w:rPr>
        <w:t> </w:t>
      </w:r>
      <w:r>
        <w:rPr>
          <w:i/>
        </w:rPr>
        <w:t>et</w:t>
      </w:r>
      <w:r>
        <w:rPr>
          <w:i/>
          <w:spacing w:val="40"/>
        </w:rPr>
        <w:t> </w:t>
      </w:r>
      <w:r>
        <w:rPr>
          <w:i/>
        </w:rPr>
        <w:t>al</w:t>
      </w:r>
      <w:r>
        <w:rPr/>
        <w:t>.,</w:t>
      </w:r>
      <w:r>
        <w:rPr>
          <w:spacing w:val="40"/>
        </w:rPr>
        <w:t> </w:t>
      </w:r>
      <w:r>
        <w:rPr/>
        <w:t>2007)</w:t>
      </w:r>
      <w:r>
        <w:rPr>
          <w:spacing w:val="40"/>
        </w:rPr>
        <w:t> </w:t>
      </w:r>
      <w:r>
        <w:rPr/>
        <w:t>and</w:t>
      </w:r>
      <w:r>
        <w:rPr>
          <w:spacing w:val="40"/>
        </w:rPr>
        <w:t> </w:t>
      </w:r>
      <w:r>
        <w:rPr/>
        <w:t>mimic</w:t>
      </w:r>
      <w:r>
        <w:rPr>
          <w:spacing w:val="40"/>
        </w:rPr>
        <w:t> </w:t>
      </w:r>
      <w:r>
        <w:rPr/>
        <w:t>that</w:t>
      </w:r>
      <w:r>
        <w:rPr>
          <w:spacing w:val="40"/>
        </w:rPr>
        <w:t> </w:t>
      </w:r>
      <w:r>
        <w:rPr/>
        <w:t>of</w:t>
      </w:r>
      <w:r>
        <w:rPr>
          <w:spacing w:val="40"/>
        </w:rPr>
        <w:t> </w:t>
      </w:r>
      <w:r>
        <w:rPr/>
        <w:t>other common illnesses like flu (United States NAAQS, 2011). Chronic CO exposure may be associated with diseases like dementia, depression, and psychosis (Leon </w:t>
      </w:r>
      <w:r>
        <w:rPr>
          <w:i/>
        </w:rPr>
        <w:t>et al., </w:t>
      </w:r>
      <w:r>
        <w:rPr/>
        <w:t>2007; Samuel </w:t>
      </w:r>
      <w:r>
        <w:rPr>
          <w:i/>
        </w:rPr>
        <w:t>et al.</w:t>
      </w:r>
      <w:r>
        <w:rPr/>
        <w:t>, 2007). The combined effect of increased atmospheric temperature, as experienced</w:t>
      </w:r>
      <w:r>
        <w:rPr>
          <w:spacing w:val="40"/>
        </w:rPr>
        <w:t> </w:t>
      </w:r>
      <w:r>
        <w:rPr/>
        <w:t>in</w:t>
      </w:r>
      <w:r>
        <w:rPr>
          <w:spacing w:val="40"/>
        </w:rPr>
        <w:t> </w:t>
      </w:r>
      <w:r>
        <w:rPr/>
        <w:t>the</w:t>
      </w:r>
      <w:r>
        <w:rPr>
          <w:spacing w:val="40"/>
        </w:rPr>
        <w:t> </w:t>
      </w:r>
      <w:r>
        <w:rPr/>
        <w:t>tropics,</w:t>
      </w:r>
      <w:r>
        <w:rPr>
          <w:spacing w:val="40"/>
        </w:rPr>
        <w:t> </w:t>
      </w:r>
      <w:r>
        <w:rPr/>
        <w:t>and</w:t>
      </w:r>
      <w:r>
        <w:rPr>
          <w:spacing w:val="40"/>
        </w:rPr>
        <w:t> </w:t>
      </w:r>
      <w:r>
        <w:rPr/>
        <w:t>CO</w:t>
      </w:r>
      <w:r>
        <w:rPr>
          <w:spacing w:val="40"/>
        </w:rPr>
        <w:t> </w:t>
      </w:r>
      <w:r>
        <w:rPr/>
        <w:t>poisoning</w:t>
      </w:r>
      <w:r>
        <w:rPr>
          <w:spacing w:val="40"/>
        </w:rPr>
        <w:t> </w:t>
      </w:r>
      <w:r>
        <w:rPr/>
        <w:t>can</w:t>
      </w:r>
      <w:r>
        <w:rPr>
          <w:spacing w:val="40"/>
        </w:rPr>
        <w:t> </w:t>
      </w:r>
      <w:r>
        <w:rPr/>
        <w:t>impair</w:t>
      </w:r>
      <w:r>
        <w:rPr>
          <w:spacing w:val="40"/>
        </w:rPr>
        <w:t> </w:t>
      </w:r>
      <w:r>
        <w:rPr/>
        <w:t>exercise</w:t>
      </w:r>
      <w:r>
        <w:rPr>
          <w:spacing w:val="40"/>
        </w:rPr>
        <w:t> </w:t>
      </w:r>
      <w:r>
        <w:rPr/>
        <w:t>performance</w:t>
      </w:r>
      <w:r>
        <w:rPr>
          <w:spacing w:val="40"/>
        </w:rPr>
        <w:t> </w:t>
      </w:r>
      <w:r>
        <w:rPr/>
        <w:t>and make</w:t>
      </w:r>
      <w:r>
        <w:rPr>
          <w:spacing w:val="26"/>
        </w:rPr>
        <w:t> </w:t>
      </w:r>
      <w:r>
        <w:rPr/>
        <w:t>daily</w:t>
      </w:r>
      <w:r>
        <w:rPr>
          <w:spacing w:val="17"/>
        </w:rPr>
        <w:t> </w:t>
      </w:r>
      <w:r>
        <w:rPr/>
        <w:t>chores</w:t>
      </w:r>
      <w:r>
        <w:rPr>
          <w:spacing w:val="24"/>
        </w:rPr>
        <w:t> </w:t>
      </w:r>
      <w:r>
        <w:rPr/>
        <w:t>like</w:t>
      </w:r>
      <w:r>
        <w:rPr>
          <w:spacing w:val="26"/>
        </w:rPr>
        <w:t> </w:t>
      </w:r>
      <w:r>
        <w:rPr/>
        <w:t>driving,</w:t>
      </w:r>
      <w:r>
        <w:rPr>
          <w:spacing w:val="26"/>
        </w:rPr>
        <w:t> </w:t>
      </w:r>
      <w:r>
        <w:rPr/>
        <w:t>climbing</w:t>
      </w:r>
      <w:r>
        <w:rPr>
          <w:spacing w:val="23"/>
        </w:rPr>
        <w:t> </w:t>
      </w:r>
      <w:r>
        <w:rPr/>
        <w:t>of</w:t>
      </w:r>
      <w:r>
        <w:rPr>
          <w:spacing w:val="22"/>
        </w:rPr>
        <w:t> </w:t>
      </w:r>
      <w:r>
        <w:rPr/>
        <w:t>stairs</w:t>
      </w:r>
      <w:r>
        <w:rPr>
          <w:spacing w:val="30"/>
        </w:rPr>
        <w:t> </w:t>
      </w:r>
      <w:r>
        <w:rPr/>
        <w:t>and</w:t>
      </w:r>
      <w:r>
        <w:rPr>
          <w:spacing w:val="34"/>
        </w:rPr>
        <w:t> </w:t>
      </w:r>
      <w:r>
        <w:rPr/>
        <w:t>long</w:t>
      </w:r>
      <w:r>
        <w:rPr>
          <w:spacing w:val="17"/>
        </w:rPr>
        <w:t> </w:t>
      </w:r>
      <w:r>
        <w:rPr/>
        <w:t>walks,</w:t>
      </w:r>
      <w:r>
        <w:rPr>
          <w:spacing w:val="32"/>
        </w:rPr>
        <w:t> </w:t>
      </w:r>
      <w:r>
        <w:rPr/>
        <w:t>a</w:t>
      </w:r>
      <w:r>
        <w:rPr>
          <w:spacing w:val="22"/>
        </w:rPr>
        <w:t> </w:t>
      </w:r>
      <w:r>
        <w:rPr/>
        <w:t>great</w:t>
      </w:r>
      <w:r>
        <w:rPr>
          <w:spacing w:val="31"/>
        </w:rPr>
        <w:t> </w:t>
      </w:r>
      <w:r>
        <w:rPr/>
        <w:t>task</w:t>
      </w:r>
      <w:r>
        <w:rPr>
          <w:spacing w:val="23"/>
        </w:rPr>
        <w:t> </w:t>
      </w:r>
      <w:r>
        <w:rPr/>
        <w:t>(Walker </w:t>
      </w:r>
      <w:r>
        <w:rPr>
          <w:i/>
        </w:rPr>
        <w:t>et al</w:t>
      </w:r>
      <w:r>
        <w:rPr/>
        <w:t>., 2001). This means people could be manifesting some of the symptoms of chronic CO toxicity while simply ignoring them as the usual daily chores.</w:t>
      </w:r>
    </w:p>
    <w:p>
      <w:pPr>
        <w:pStyle w:val="BodyText"/>
      </w:pPr>
    </w:p>
    <w:p>
      <w:pPr>
        <w:pStyle w:val="BodyText"/>
        <w:spacing w:before="15"/>
      </w:pPr>
    </w:p>
    <w:p>
      <w:pPr>
        <w:pStyle w:val="BodyText"/>
        <w:spacing w:line="491" w:lineRule="auto"/>
        <w:ind w:left="665" w:right="896"/>
        <w:jc w:val="both"/>
      </w:pPr>
      <w:r>
        <w:rPr/>
        <w:t>The United States Consumer Product Safety Commission (CPSC) of 2001 stated that</w:t>
      </w:r>
      <w:r>
        <w:rPr>
          <w:spacing w:val="40"/>
        </w:rPr>
        <w:t> </w:t>
      </w:r>
      <w:r>
        <w:rPr/>
        <w:t>every home</w:t>
      </w:r>
      <w:r>
        <w:rPr>
          <w:spacing w:val="25"/>
        </w:rPr>
        <w:t> </w:t>
      </w:r>
      <w:r>
        <w:rPr/>
        <w:t>should</w:t>
      </w:r>
      <w:r>
        <w:rPr>
          <w:spacing w:val="33"/>
        </w:rPr>
        <w:t> </w:t>
      </w:r>
      <w:r>
        <w:rPr/>
        <w:t>have a</w:t>
      </w:r>
      <w:r>
        <w:rPr>
          <w:spacing w:val="31"/>
        </w:rPr>
        <w:t> </w:t>
      </w:r>
      <w:r>
        <w:rPr/>
        <w:t>CO</w:t>
      </w:r>
      <w:r>
        <w:rPr>
          <w:spacing w:val="25"/>
        </w:rPr>
        <w:t> </w:t>
      </w:r>
      <w:r>
        <w:rPr/>
        <w:t>alarm</w:t>
      </w:r>
      <w:r>
        <w:rPr>
          <w:spacing w:val="27"/>
        </w:rPr>
        <w:t> </w:t>
      </w:r>
      <w:r>
        <w:rPr/>
        <w:t>and</w:t>
      </w:r>
      <w:r>
        <w:rPr>
          <w:spacing w:val="33"/>
        </w:rPr>
        <w:t> </w:t>
      </w:r>
      <w:r>
        <w:rPr/>
        <w:t>every major</w:t>
      </w:r>
      <w:r>
        <w:rPr>
          <w:spacing w:val="26"/>
        </w:rPr>
        <w:t> </w:t>
      </w:r>
      <w:r>
        <w:rPr/>
        <w:t>road</w:t>
      </w:r>
      <w:r>
        <w:rPr>
          <w:spacing w:val="33"/>
        </w:rPr>
        <w:t> </w:t>
      </w:r>
      <w:r>
        <w:rPr/>
        <w:t>junction must</w:t>
      </w:r>
      <w:r>
        <w:rPr>
          <w:spacing w:val="30"/>
        </w:rPr>
        <w:t> </w:t>
      </w:r>
      <w:r>
        <w:rPr/>
        <w:t>have</w:t>
      </w:r>
      <w:r>
        <w:rPr>
          <w:spacing w:val="25"/>
        </w:rPr>
        <w:t> </w:t>
      </w:r>
      <w:r>
        <w:rPr/>
        <w:t>at</w:t>
      </w:r>
      <w:r>
        <w:rPr>
          <w:spacing w:val="35"/>
        </w:rPr>
        <w:t> </w:t>
      </w:r>
      <w:r>
        <w:rPr/>
        <w:t>least one CO monitoring station situated within 30 meters from the road (United States EPA, 1991);</w:t>
      </w:r>
      <w:r>
        <w:rPr>
          <w:spacing w:val="29"/>
        </w:rPr>
        <w:t> </w:t>
      </w:r>
      <w:r>
        <w:rPr/>
        <w:t>this</w:t>
      </w:r>
      <w:r>
        <w:rPr>
          <w:spacing w:val="34"/>
        </w:rPr>
        <w:t> </w:t>
      </w:r>
      <w:r>
        <w:rPr/>
        <w:t>is</w:t>
      </w:r>
      <w:r>
        <w:rPr>
          <w:spacing w:val="39"/>
        </w:rPr>
        <w:t> </w:t>
      </w:r>
      <w:r>
        <w:rPr/>
        <w:t>not</w:t>
      </w:r>
      <w:r>
        <w:rPr>
          <w:spacing w:val="35"/>
        </w:rPr>
        <w:t> </w:t>
      </w:r>
      <w:r>
        <w:rPr/>
        <w:t>the</w:t>
      </w:r>
      <w:r>
        <w:rPr>
          <w:spacing w:val="30"/>
        </w:rPr>
        <w:t> </w:t>
      </w:r>
      <w:r>
        <w:rPr/>
        <w:t>case</w:t>
      </w:r>
      <w:r>
        <w:rPr>
          <w:spacing w:val="40"/>
        </w:rPr>
        <w:t> </w:t>
      </w:r>
      <w:r>
        <w:rPr/>
        <w:t>in</w:t>
      </w:r>
      <w:r>
        <w:rPr>
          <w:spacing w:val="33"/>
        </w:rPr>
        <w:t> </w:t>
      </w:r>
      <w:r>
        <w:rPr/>
        <w:t>Nigeria</w:t>
      </w:r>
      <w:r>
        <w:rPr>
          <w:spacing w:val="36"/>
        </w:rPr>
        <w:t> </w:t>
      </w:r>
      <w:r>
        <w:rPr/>
        <w:t>where</w:t>
      </w:r>
      <w:r>
        <w:rPr>
          <w:spacing w:val="36"/>
        </w:rPr>
        <w:t> </w:t>
      </w:r>
      <w:r>
        <w:rPr/>
        <w:t>CO</w:t>
      </w:r>
      <w:r>
        <w:rPr>
          <w:spacing w:val="40"/>
        </w:rPr>
        <w:t> </w:t>
      </w:r>
      <w:r>
        <w:rPr/>
        <w:t>monitoring</w:t>
      </w:r>
      <w:r>
        <w:rPr>
          <w:spacing w:val="33"/>
        </w:rPr>
        <w:t> </w:t>
      </w:r>
      <w:r>
        <w:rPr/>
        <w:t>stations</w:t>
      </w:r>
      <w:r>
        <w:rPr>
          <w:spacing w:val="34"/>
        </w:rPr>
        <w:t> </w:t>
      </w:r>
      <w:r>
        <w:rPr/>
        <w:t>are</w:t>
      </w:r>
      <w:r>
        <w:rPr>
          <w:spacing w:val="36"/>
        </w:rPr>
        <w:t> </w:t>
      </w:r>
      <w:r>
        <w:rPr/>
        <w:t>not</w:t>
      </w:r>
      <w:r>
        <w:rPr>
          <w:spacing w:val="35"/>
        </w:rPr>
        <w:t> </w:t>
      </w:r>
      <w:r>
        <w:rPr/>
        <w:t>available, not</w:t>
      </w:r>
      <w:r>
        <w:rPr>
          <w:spacing w:val="40"/>
        </w:rPr>
        <w:t> </w:t>
      </w:r>
      <w:r>
        <w:rPr/>
        <w:t>to</w:t>
      </w:r>
      <w:r>
        <w:rPr>
          <w:spacing w:val="40"/>
        </w:rPr>
        <w:t> </w:t>
      </w:r>
      <w:r>
        <w:rPr/>
        <w:t>talk</w:t>
      </w:r>
      <w:r>
        <w:rPr>
          <w:spacing w:val="40"/>
        </w:rPr>
        <w:t> </w:t>
      </w:r>
      <w:r>
        <w:rPr/>
        <w:t>of</w:t>
      </w:r>
      <w:r>
        <w:rPr>
          <w:spacing w:val="40"/>
        </w:rPr>
        <w:t> </w:t>
      </w:r>
      <w:r>
        <w:rPr/>
        <w:t>personal</w:t>
      </w:r>
      <w:r>
        <w:rPr>
          <w:spacing w:val="40"/>
        </w:rPr>
        <w:t> </w:t>
      </w:r>
      <w:r>
        <w:rPr/>
        <w:t>CO</w:t>
      </w:r>
      <w:r>
        <w:rPr>
          <w:spacing w:val="40"/>
        </w:rPr>
        <w:t> </w:t>
      </w:r>
      <w:r>
        <w:rPr/>
        <w:t>monitors</w:t>
      </w:r>
      <w:r>
        <w:rPr>
          <w:spacing w:val="40"/>
        </w:rPr>
        <w:t> </w:t>
      </w:r>
      <w:r>
        <w:rPr/>
        <w:t>and</w:t>
      </w:r>
      <w:r>
        <w:rPr>
          <w:spacing w:val="40"/>
        </w:rPr>
        <w:t> </w:t>
      </w:r>
      <w:r>
        <w:rPr/>
        <w:t>CO</w:t>
      </w:r>
      <w:r>
        <w:rPr>
          <w:spacing w:val="40"/>
        </w:rPr>
        <w:t> </w:t>
      </w:r>
      <w:r>
        <w:rPr/>
        <w:t>alarms.</w:t>
      </w:r>
      <w:r>
        <w:rPr>
          <w:spacing w:val="40"/>
        </w:rPr>
        <w:t> </w:t>
      </w:r>
      <w:r>
        <w:rPr/>
        <w:t>Some</w:t>
      </w:r>
      <w:r>
        <w:rPr>
          <w:spacing w:val="40"/>
        </w:rPr>
        <w:t> </w:t>
      </w:r>
      <w:r>
        <w:rPr/>
        <w:t>hospitals</w:t>
      </w:r>
      <w:r>
        <w:rPr>
          <w:spacing w:val="40"/>
        </w:rPr>
        <w:t> </w:t>
      </w:r>
      <w:r>
        <w:rPr/>
        <w:t>in</w:t>
      </w:r>
      <w:r>
        <w:rPr>
          <w:spacing w:val="40"/>
        </w:rPr>
        <w:t> </w:t>
      </w:r>
      <w:r>
        <w:rPr/>
        <w:t>Nigeria</w:t>
      </w:r>
      <w:r>
        <w:rPr>
          <w:spacing w:val="40"/>
        </w:rPr>
        <w:t> </w:t>
      </w:r>
      <w:r>
        <w:rPr/>
        <w:t>are poorly equipped with CO-oximeter to make diagnosis easier, and poisonings are often grossly under-reported or misdiagnosed by medical practitioners. Environmental criteria for</w:t>
      </w:r>
      <w:r>
        <w:rPr>
          <w:spacing w:val="40"/>
        </w:rPr>
        <w:t> </w:t>
      </w:r>
      <w:r>
        <w:rPr/>
        <w:t>CO</w:t>
      </w:r>
      <w:r>
        <w:rPr>
          <w:spacing w:val="40"/>
        </w:rPr>
        <w:t> </w:t>
      </w:r>
      <w:r>
        <w:rPr/>
        <w:t>and</w:t>
      </w:r>
      <w:r>
        <w:rPr>
          <w:spacing w:val="40"/>
        </w:rPr>
        <w:t> </w:t>
      </w:r>
      <w:r>
        <w:rPr/>
        <w:t>other</w:t>
      </w:r>
      <w:r>
        <w:rPr>
          <w:spacing w:val="40"/>
        </w:rPr>
        <w:t> </w:t>
      </w:r>
      <w:r>
        <w:rPr/>
        <w:t>gaseous pollutants</w:t>
      </w:r>
      <w:r>
        <w:rPr>
          <w:spacing w:val="40"/>
        </w:rPr>
        <w:t> </w:t>
      </w:r>
      <w:r>
        <w:rPr/>
        <w:t>are</w:t>
      </w:r>
      <w:r>
        <w:rPr>
          <w:spacing w:val="40"/>
        </w:rPr>
        <w:t> </w:t>
      </w:r>
      <w:r>
        <w:rPr/>
        <w:t>poorly</w:t>
      </w:r>
      <w:r>
        <w:rPr>
          <w:spacing w:val="40"/>
        </w:rPr>
        <w:t> </w:t>
      </w:r>
      <w:r>
        <w:rPr/>
        <w:t>implemented,</w:t>
      </w:r>
      <w:r>
        <w:rPr>
          <w:spacing w:val="40"/>
        </w:rPr>
        <w:t> </w:t>
      </w:r>
      <w:r>
        <w:rPr/>
        <w:t>if</w:t>
      </w:r>
      <w:r>
        <w:rPr>
          <w:spacing w:val="40"/>
        </w:rPr>
        <w:t> </w:t>
      </w:r>
      <w:r>
        <w:rPr/>
        <w:t>at</w:t>
      </w:r>
      <w:r>
        <w:rPr>
          <w:spacing w:val="40"/>
        </w:rPr>
        <w:t> </w:t>
      </w:r>
      <w:r>
        <w:rPr/>
        <w:t>all</w:t>
      </w:r>
      <w:r>
        <w:rPr>
          <w:spacing w:val="40"/>
        </w:rPr>
        <w:t> </w:t>
      </w:r>
      <w:r>
        <w:rPr/>
        <w:t>they exist</w:t>
      </w:r>
      <w:r>
        <w:rPr>
          <w:spacing w:val="40"/>
        </w:rPr>
        <w:t> </w:t>
      </w:r>
      <w:r>
        <w:rPr/>
        <w:t>in Nigeria (Ayodele </w:t>
      </w:r>
      <w:r>
        <w:rPr>
          <w:i/>
        </w:rPr>
        <w:t>et al</w:t>
      </w:r>
      <w:r>
        <w:rPr/>
        <w:t>., 2007).</w:t>
      </w:r>
    </w:p>
    <w:p>
      <w:pPr>
        <w:spacing w:after="0" w:line="491" w:lineRule="auto"/>
        <w:jc w:val="both"/>
        <w:sectPr>
          <w:pgSz w:w="12240" w:h="15840"/>
          <w:pgMar w:header="0" w:footer="916" w:top="1260" w:bottom="1100" w:left="1720" w:right="960"/>
        </w:sectPr>
      </w:pPr>
    </w:p>
    <w:p>
      <w:pPr>
        <w:pStyle w:val="Heading2"/>
        <w:numPr>
          <w:ilvl w:val="1"/>
          <w:numId w:val="15"/>
        </w:numPr>
        <w:tabs>
          <w:tab w:pos="1004" w:val="left" w:leader="none"/>
        </w:tabs>
        <w:spacing w:line="240" w:lineRule="auto" w:before="80" w:after="0"/>
        <w:ind w:left="1004" w:right="0" w:hanging="339"/>
        <w:jc w:val="left"/>
      </w:pPr>
      <w:bookmarkStart w:name="_TOC_250043" w:id="14"/>
      <w:bookmarkEnd w:id="14"/>
      <w:r>
        <w:rPr>
          <w:spacing w:val="-2"/>
        </w:rPr>
        <w:t>JUSTIFICATION</w:t>
      </w:r>
    </w:p>
    <w:p>
      <w:pPr>
        <w:pStyle w:val="BodyText"/>
        <w:spacing w:before="7"/>
        <w:rPr>
          <w:b/>
        </w:rPr>
      </w:pPr>
    </w:p>
    <w:p>
      <w:pPr>
        <w:pStyle w:val="BodyText"/>
        <w:spacing w:line="491" w:lineRule="auto" w:before="1"/>
        <w:ind w:left="665" w:right="897"/>
        <w:jc w:val="both"/>
      </w:pPr>
      <w:r>
        <w:rPr/>
        <w:t>Carbon monoxide was described by the U.S. Environmental Protection Agency as a</w:t>
      </w:r>
      <w:r>
        <w:rPr>
          <w:spacing w:val="40"/>
        </w:rPr>
        <w:t> </w:t>
      </w:r>
      <w:r>
        <w:rPr/>
        <w:t>“silent or invisible killer”. Its colourless and odourless nature makes it difficult to detect without</w:t>
      </w:r>
      <w:r>
        <w:rPr>
          <w:spacing w:val="40"/>
        </w:rPr>
        <w:t> </w:t>
      </w:r>
      <w:r>
        <w:rPr/>
        <w:t>the</w:t>
      </w:r>
      <w:r>
        <w:rPr>
          <w:spacing w:val="40"/>
        </w:rPr>
        <w:t> </w:t>
      </w:r>
      <w:r>
        <w:rPr/>
        <w:t>use</w:t>
      </w:r>
      <w:r>
        <w:rPr>
          <w:spacing w:val="40"/>
        </w:rPr>
        <w:t> </w:t>
      </w:r>
      <w:r>
        <w:rPr/>
        <w:t>of</w:t>
      </w:r>
      <w:r>
        <w:rPr>
          <w:spacing w:val="40"/>
        </w:rPr>
        <w:t> </w:t>
      </w:r>
      <w:r>
        <w:rPr/>
        <w:t>special</w:t>
      </w:r>
      <w:r>
        <w:rPr>
          <w:spacing w:val="40"/>
        </w:rPr>
        <w:t> </w:t>
      </w:r>
      <w:r>
        <w:rPr/>
        <w:t>equipment.</w:t>
      </w:r>
      <w:r>
        <w:rPr>
          <w:spacing w:val="40"/>
        </w:rPr>
        <w:t> </w:t>
      </w:r>
      <w:r>
        <w:rPr/>
        <w:t>The</w:t>
      </w:r>
      <w:r>
        <w:rPr>
          <w:spacing w:val="40"/>
        </w:rPr>
        <w:t> </w:t>
      </w:r>
      <w:r>
        <w:rPr/>
        <w:t>use</w:t>
      </w:r>
      <w:r>
        <w:rPr>
          <w:spacing w:val="40"/>
        </w:rPr>
        <w:t> </w:t>
      </w:r>
      <w:r>
        <w:rPr/>
        <w:t>of</w:t>
      </w:r>
      <w:r>
        <w:rPr>
          <w:spacing w:val="40"/>
        </w:rPr>
        <w:t> </w:t>
      </w:r>
      <w:r>
        <w:rPr/>
        <w:t>portable</w:t>
      </w:r>
      <w:r>
        <w:rPr>
          <w:spacing w:val="40"/>
        </w:rPr>
        <w:t> </w:t>
      </w:r>
      <w:r>
        <w:rPr/>
        <w:t>generators</w:t>
      </w:r>
      <w:r>
        <w:rPr>
          <w:spacing w:val="40"/>
        </w:rPr>
        <w:t> </w:t>
      </w:r>
      <w:r>
        <w:rPr/>
        <w:t>in</w:t>
      </w:r>
      <w:r>
        <w:rPr>
          <w:spacing w:val="40"/>
        </w:rPr>
        <w:t> </w:t>
      </w:r>
      <w:r>
        <w:rPr/>
        <w:t>the</w:t>
      </w:r>
      <w:r>
        <w:rPr>
          <w:spacing w:val="40"/>
        </w:rPr>
        <w:t> </w:t>
      </w:r>
      <w:r>
        <w:rPr/>
        <w:t>United States of America is only circumstantial, during power outages (e.g. from winter storms, camp grounds or new building construction) (Neil </w:t>
      </w:r>
      <w:r>
        <w:rPr>
          <w:i/>
        </w:rPr>
        <w:t>et al</w:t>
      </w:r>
      <w:r>
        <w:rPr/>
        <w:t>., 2005) but in Nigeria it is the</w:t>
      </w:r>
      <w:r>
        <w:rPr>
          <w:spacing w:val="40"/>
        </w:rPr>
        <w:t> </w:t>
      </w:r>
      <w:r>
        <w:rPr/>
        <w:t>usual</w:t>
      </w:r>
      <w:r>
        <w:rPr>
          <w:spacing w:val="17"/>
        </w:rPr>
        <w:t> </w:t>
      </w:r>
      <w:r>
        <w:rPr/>
        <w:t>source</w:t>
      </w:r>
      <w:r>
        <w:rPr>
          <w:spacing w:val="18"/>
        </w:rPr>
        <w:t> </w:t>
      </w:r>
      <w:r>
        <w:rPr/>
        <w:t>of power.</w:t>
      </w:r>
      <w:r>
        <w:rPr>
          <w:spacing w:val="25"/>
        </w:rPr>
        <w:t> </w:t>
      </w:r>
      <w:r>
        <w:rPr/>
        <w:t>The</w:t>
      </w:r>
      <w:r>
        <w:rPr>
          <w:spacing w:val="18"/>
        </w:rPr>
        <w:t> </w:t>
      </w:r>
      <w:r>
        <w:rPr/>
        <w:t>possible</w:t>
      </w:r>
      <w:r>
        <w:rPr>
          <w:spacing w:val="22"/>
        </w:rPr>
        <w:t> </w:t>
      </w:r>
      <w:r>
        <w:rPr/>
        <w:t>reasons</w:t>
      </w:r>
      <w:r>
        <w:rPr>
          <w:spacing w:val="20"/>
        </w:rPr>
        <w:t> </w:t>
      </w:r>
      <w:r>
        <w:rPr/>
        <w:t>speculated</w:t>
      </w:r>
      <w:r>
        <w:rPr>
          <w:spacing w:val="25"/>
        </w:rPr>
        <w:t> </w:t>
      </w:r>
      <w:r>
        <w:rPr/>
        <w:t>by Neil</w:t>
      </w:r>
      <w:r>
        <w:rPr>
          <w:spacing w:val="18"/>
        </w:rPr>
        <w:t> </w:t>
      </w:r>
      <w:r>
        <w:rPr>
          <w:i/>
        </w:rPr>
        <w:t>et</w:t>
      </w:r>
      <w:r>
        <w:rPr>
          <w:i/>
          <w:spacing w:val="22"/>
        </w:rPr>
        <w:t> </w:t>
      </w:r>
      <w:r>
        <w:rPr>
          <w:i/>
        </w:rPr>
        <w:t>al</w:t>
      </w:r>
      <w:r>
        <w:rPr/>
        <w:t>.,</w:t>
      </w:r>
      <w:r>
        <w:rPr>
          <w:spacing w:val="24"/>
        </w:rPr>
        <w:t> </w:t>
      </w:r>
      <w:r>
        <w:rPr/>
        <w:t>(2005)</w:t>
      </w:r>
      <w:r>
        <w:rPr>
          <w:spacing w:val="29"/>
        </w:rPr>
        <w:t> </w:t>
      </w:r>
      <w:r>
        <w:rPr/>
        <w:t>in the</w:t>
      </w:r>
      <w:r>
        <w:rPr>
          <w:spacing w:val="22"/>
        </w:rPr>
        <w:t> </w:t>
      </w:r>
      <w:r>
        <w:rPr/>
        <w:t>use of generator</w:t>
      </w:r>
      <w:r>
        <w:rPr>
          <w:spacing w:val="33"/>
        </w:rPr>
        <w:t> </w:t>
      </w:r>
      <w:r>
        <w:rPr/>
        <w:t>indoors, often</w:t>
      </w:r>
      <w:r>
        <w:rPr>
          <w:spacing w:val="28"/>
        </w:rPr>
        <w:t> </w:t>
      </w:r>
      <w:r>
        <w:rPr/>
        <w:t>without</w:t>
      </w:r>
      <w:r>
        <w:rPr>
          <w:spacing w:val="30"/>
        </w:rPr>
        <w:t> </w:t>
      </w:r>
      <w:r>
        <w:rPr/>
        <w:t>adequate</w:t>
      </w:r>
      <w:r>
        <w:rPr>
          <w:spacing w:val="32"/>
        </w:rPr>
        <w:t> </w:t>
      </w:r>
      <w:r>
        <w:rPr/>
        <w:t>ventilation were:</w:t>
      </w:r>
      <w:r>
        <w:rPr>
          <w:spacing w:val="30"/>
        </w:rPr>
        <w:t> </w:t>
      </w:r>
      <w:r>
        <w:rPr/>
        <w:t>(1)</w:t>
      </w:r>
      <w:r>
        <w:rPr>
          <w:spacing w:val="33"/>
        </w:rPr>
        <w:t> </w:t>
      </w:r>
      <w:r>
        <w:rPr/>
        <w:t>lack of awareness of the</w:t>
      </w:r>
      <w:r>
        <w:rPr>
          <w:spacing w:val="36"/>
        </w:rPr>
        <w:t> </w:t>
      </w:r>
      <w:r>
        <w:rPr/>
        <w:t>risk</w:t>
      </w:r>
      <w:r>
        <w:rPr>
          <w:spacing w:val="32"/>
        </w:rPr>
        <w:t> </w:t>
      </w:r>
      <w:r>
        <w:rPr/>
        <w:t>of</w:t>
      </w:r>
      <w:r>
        <w:rPr>
          <w:spacing w:val="31"/>
        </w:rPr>
        <w:t> </w:t>
      </w:r>
      <w:r>
        <w:rPr/>
        <w:t>CO</w:t>
      </w:r>
      <w:r>
        <w:rPr>
          <w:spacing w:val="34"/>
        </w:rPr>
        <w:t> </w:t>
      </w:r>
      <w:r>
        <w:rPr/>
        <w:t>poisoning;</w:t>
      </w:r>
      <w:r>
        <w:rPr>
          <w:spacing w:val="34"/>
        </w:rPr>
        <w:t> </w:t>
      </w:r>
      <w:r>
        <w:rPr/>
        <w:t>(2)</w:t>
      </w:r>
      <w:r>
        <w:rPr>
          <w:spacing w:val="37"/>
        </w:rPr>
        <w:t> </w:t>
      </w:r>
      <w:r>
        <w:rPr/>
        <w:t>concern</w:t>
      </w:r>
      <w:r>
        <w:rPr>
          <w:spacing w:val="32"/>
        </w:rPr>
        <w:t> </w:t>
      </w:r>
      <w:r>
        <w:rPr/>
        <w:t>for</w:t>
      </w:r>
      <w:r>
        <w:rPr>
          <w:spacing w:val="37"/>
        </w:rPr>
        <w:t> </w:t>
      </w:r>
      <w:r>
        <w:rPr/>
        <w:t>electric</w:t>
      </w:r>
      <w:r>
        <w:rPr>
          <w:spacing w:val="40"/>
        </w:rPr>
        <w:t> </w:t>
      </w:r>
      <w:r>
        <w:rPr/>
        <w:t>shock</w:t>
      </w:r>
      <w:r>
        <w:rPr>
          <w:spacing w:val="32"/>
        </w:rPr>
        <w:t> </w:t>
      </w:r>
      <w:r>
        <w:rPr/>
        <w:t>by</w:t>
      </w:r>
      <w:r>
        <w:rPr>
          <w:spacing w:val="27"/>
        </w:rPr>
        <w:t> </w:t>
      </w:r>
      <w:r>
        <w:rPr/>
        <w:t>use</w:t>
      </w:r>
      <w:r>
        <w:rPr>
          <w:spacing w:val="36"/>
        </w:rPr>
        <w:t> </w:t>
      </w:r>
      <w:r>
        <w:rPr/>
        <w:t>in</w:t>
      </w:r>
      <w:r>
        <w:rPr>
          <w:spacing w:val="27"/>
        </w:rPr>
        <w:t> </w:t>
      </w:r>
      <w:r>
        <w:rPr/>
        <w:t>wet</w:t>
      </w:r>
      <w:r>
        <w:rPr>
          <w:spacing w:val="34"/>
        </w:rPr>
        <w:t> </w:t>
      </w:r>
      <w:r>
        <w:rPr/>
        <w:t>conditions;</w:t>
      </w:r>
      <w:r>
        <w:rPr>
          <w:spacing w:val="34"/>
        </w:rPr>
        <w:t> </w:t>
      </w:r>
      <w:r>
        <w:rPr/>
        <w:t>(3) fear</w:t>
      </w:r>
      <w:r>
        <w:rPr>
          <w:spacing w:val="22"/>
        </w:rPr>
        <w:t> </w:t>
      </w:r>
      <w:r>
        <w:rPr/>
        <w:t>of</w:t>
      </w:r>
      <w:r>
        <w:rPr>
          <w:spacing w:val="17"/>
        </w:rPr>
        <w:t> </w:t>
      </w:r>
      <w:r>
        <w:rPr/>
        <w:t>theft</w:t>
      </w:r>
      <w:r>
        <w:rPr>
          <w:spacing w:val="25"/>
        </w:rPr>
        <w:t> </w:t>
      </w:r>
      <w:r>
        <w:rPr/>
        <w:t>if</w:t>
      </w:r>
      <w:r>
        <w:rPr>
          <w:spacing w:val="17"/>
        </w:rPr>
        <w:t> </w:t>
      </w:r>
      <w:r>
        <w:rPr/>
        <w:t>the</w:t>
      </w:r>
      <w:r>
        <w:rPr>
          <w:spacing w:val="22"/>
        </w:rPr>
        <w:t> </w:t>
      </w:r>
      <w:r>
        <w:rPr/>
        <w:t>device</w:t>
      </w:r>
      <w:r>
        <w:rPr>
          <w:spacing w:val="26"/>
        </w:rPr>
        <w:t> </w:t>
      </w:r>
      <w:r>
        <w:rPr/>
        <w:t>is</w:t>
      </w:r>
      <w:r>
        <w:rPr>
          <w:spacing w:val="24"/>
        </w:rPr>
        <w:t> </w:t>
      </w:r>
      <w:r>
        <w:rPr/>
        <w:t>left</w:t>
      </w:r>
      <w:r>
        <w:rPr>
          <w:spacing w:val="21"/>
        </w:rPr>
        <w:t> </w:t>
      </w:r>
      <w:r>
        <w:rPr/>
        <w:t>outdoors;</w:t>
      </w:r>
      <w:r>
        <w:rPr>
          <w:spacing w:val="25"/>
        </w:rPr>
        <w:t> </w:t>
      </w:r>
      <w:r>
        <w:rPr/>
        <w:t>and</w:t>
      </w:r>
      <w:r>
        <w:rPr>
          <w:spacing w:val="28"/>
        </w:rPr>
        <w:t> </w:t>
      </w:r>
      <w:r>
        <w:rPr/>
        <w:t>(4)</w:t>
      </w:r>
      <w:r>
        <w:rPr>
          <w:spacing w:val="17"/>
        </w:rPr>
        <w:t> </w:t>
      </w:r>
      <w:r>
        <w:rPr/>
        <w:t>lack</w:t>
      </w:r>
      <w:r>
        <w:rPr>
          <w:spacing w:val="13"/>
        </w:rPr>
        <w:t> </w:t>
      </w:r>
      <w:r>
        <w:rPr/>
        <w:t>of</w:t>
      </w:r>
      <w:r>
        <w:rPr>
          <w:spacing w:val="17"/>
        </w:rPr>
        <w:t> </w:t>
      </w:r>
      <w:r>
        <w:rPr/>
        <w:t>a</w:t>
      </w:r>
      <w:r>
        <w:rPr>
          <w:spacing w:val="26"/>
        </w:rPr>
        <w:t> </w:t>
      </w:r>
      <w:r>
        <w:rPr/>
        <w:t>long</w:t>
      </w:r>
      <w:r>
        <w:rPr>
          <w:spacing w:val="13"/>
        </w:rPr>
        <w:t> </w:t>
      </w:r>
      <w:r>
        <w:rPr/>
        <w:t>enough</w:t>
      </w:r>
      <w:r>
        <w:rPr>
          <w:spacing w:val="18"/>
        </w:rPr>
        <w:t> </w:t>
      </w:r>
      <w:r>
        <w:rPr/>
        <w:t>extension</w:t>
      </w:r>
      <w:r>
        <w:rPr>
          <w:spacing w:val="13"/>
        </w:rPr>
        <w:t> </w:t>
      </w:r>
      <w:r>
        <w:rPr/>
        <w:t>cord to</w:t>
      </w:r>
      <w:r>
        <w:rPr>
          <w:spacing w:val="40"/>
        </w:rPr>
        <w:t> </w:t>
      </w:r>
      <w:r>
        <w:rPr/>
        <w:t>operate the generator outdoors. Aside the above reasons, Ayodele</w:t>
      </w:r>
      <w:r>
        <w:rPr>
          <w:spacing w:val="40"/>
        </w:rPr>
        <w:t> </w:t>
      </w:r>
      <w:r>
        <w:rPr>
          <w:i/>
        </w:rPr>
        <w:t>et al.</w:t>
      </w:r>
      <w:r>
        <w:rPr/>
        <w:t>, (2008)</w:t>
      </w:r>
      <w:r>
        <w:rPr>
          <w:spacing w:val="40"/>
        </w:rPr>
        <w:t> </w:t>
      </w:r>
      <w:r>
        <w:rPr/>
        <w:t>in Kano suggested tiny, poorly constructed housing and overcrowding. Acute high CO exposures are sometimes encountered in different microenvironments (USEPA, 1991), under various circumstances, in most of these cases toxicity is certain and usually fatal. Aside sequelae from acute poisoning, chronic sequelae are</w:t>
      </w:r>
      <w:r>
        <w:rPr>
          <w:spacing w:val="38"/>
        </w:rPr>
        <w:t> </w:t>
      </w:r>
      <w:r>
        <w:rPr/>
        <w:t>yet to be determined.</w:t>
      </w:r>
    </w:p>
    <w:p>
      <w:pPr>
        <w:pStyle w:val="BodyText"/>
      </w:pPr>
    </w:p>
    <w:p>
      <w:pPr>
        <w:pStyle w:val="BodyText"/>
      </w:pPr>
    </w:p>
    <w:p>
      <w:pPr>
        <w:pStyle w:val="BodyText"/>
      </w:pPr>
    </w:p>
    <w:p>
      <w:pPr>
        <w:pStyle w:val="BodyText"/>
        <w:spacing w:before="31"/>
      </w:pPr>
    </w:p>
    <w:p>
      <w:pPr>
        <w:pStyle w:val="Heading2"/>
        <w:numPr>
          <w:ilvl w:val="1"/>
          <w:numId w:val="15"/>
        </w:numPr>
        <w:tabs>
          <w:tab w:pos="1009" w:val="left" w:leader="none"/>
        </w:tabs>
        <w:spacing w:line="240" w:lineRule="auto" w:before="0" w:after="0"/>
        <w:ind w:left="1009" w:right="0" w:hanging="344"/>
        <w:jc w:val="left"/>
      </w:pPr>
      <w:bookmarkStart w:name="_TOC_250042" w:id="15"/>
      <w:r>
        <w:rPr/>
        <w:t>AIM</w:t>
      </w:r>
      <w:r>
        <w:rPr>
          <w:spacing w:val="8"/>
        </w:rPr>
        <w:t> </w:t>
      </w:r>
      <w:r>
        <w:rPr/>
        <w:t>AND</w:t>
      </w:r>
      <w:r>
        <w:rPr>
          <w:spacing w:val="5"/>
        </w:rPr>
        <w:t> </w:t>
      </w:r>
      <w:bookmarkEnd w:id="15"/>
      <w:r>
        <w:rPr>
          <w:spacing w:val="-2"/>
        </w:rPr>
        <w:t>OBJECTIVES</w:t>
      </w:r>
    </w:p>
    <w:p>
      <w:pPr>
        <w:pStyle w:val="BodyText"/>
        <w:spacing w:before="8"/>
        <w:rPr>
          <w:b/>
        </w:rPr>
      </w:pPr>
    </w:p>
    <w:p>
      <w:pPr>
        <w:pStyle w:val="ListParagraph"/>
        <w:numPr>
          <w:ilvl w:val="2"/>
          <w:numId w:val="15"/>
        </w:numPr>
        <w:tabs>
          <w:tab w:pos="1238" w:val="left" w:leader="none"/>
        </w:tabs>
        <w:spacing w:line="494" w:lineRule="auto" w:before="0" w:after="0"/>
        <w:ind w:left="665" w:right="903" w:firstLine="0"/>
        <w:jc w:val="both"/>
        <w:rPr>
          <w:sz w:val="22"/>
        </w:rPr>
      </w:pPr>
      <w:r>
        <w:rPr>
          <w:b/>
          <w:sz w:val="22"/>
        </w:rPr>
        <w:t>Aim:</w:t>
      </w:r>
      <w:r>
        <w:rPr>
          <w:b/>
          <w:spacing w:val="40"/>
          <w:sz w:val="22"/>
        </w:rPr>
        <w:t> </w:t>
      </w:r>
      <w:r>
        <w:rPr>
          <w:sz w:val="22"/>
        </w:rPr>
        <w:t>The</w:t>
      </w:r>
      <w:r>
        <w:rPr>
          <w:spacing w:val="40"/>
          <w:sz w:val="22"/>
        </w:rPr>
        <w:t> </w:t>
      </w:r>
      <w:r>
        <w:rPr>
          <w:sz w:val="22"/>
        </w:rPr>
        <w:t>aim</w:t>
      </w:r>
      <w:r>
        <w:rPr>
          <w:spacing w:val="40"/>
          <w:sz w:val="22"/>
        </w:rPr>
        <w:t> </w:t>
      </w:r>
      <w:r>
        <w:rPr>
          <w:sz w:val="22"/>
        </w:rPr>
        <w:t>of</w:t>
      </w:r>
      <w:r>
        <w:rPr>
          <w:spacing w:val="40"/>
          <w:sz w:val="22"/>
        </w:rPr>
        <w:t> </w:t>
      </w:r>
      <w:r>
        <w:rPr>
          <w:sz w:val="22"/>
        </w:rPr>
        <w:t>this</w:t>
      </w:r>
      <w:r>
        <w:rPr>
          <w:spacing w:val="40"/>
          <w:sz w:val="22"/>
        </w:rPr>
        <w:t> </w:t>
      </w:r>
      <w:r>
        <w:rPr>
          <w:sz w:val="22"/>
        </w:rPr>
        <w:t>study was</w:t>
      </w:r>
      <w:r>
        <w:rPr>
          <w:spacing w:val="40"/>
          <w:sz w:val="22"/>
        </w:rPr>
        <w:t> </w:t>
      </w:r>
      <w:r>
        <w:rPr>
          <w:sz w:val="22"/>
        </w:rPr>
        <w:t>to</w:t>
      </w:r>
      <w:r>
        <w:rPr>
          <w:spacing w:val="40"/>
          <w:sz w:val="22"/>
        </w:rPr>
        <w:t> </w:t>
      </w:r>
      <w:r>
        <w:rPr>
          <w:sz w:val="22"/>
        </w:rPr>
        <w:t>assess</w:t>
      </w:r>
      <w:r>
        <w:rPr>
          <w:spacing w:val="40"/>
          <w:sz w:val="22"/>
        </w:rPr>
        <w:t> </w:t>
      </w:r>
      <w:r>
        <w:rPr>
          <w:sz w:val="22"/>
        </w:rPr>
        <w:t>the</w:t>
      </w:r>
      <w:r>
        <w:rPr>
          <w:spacing w:val="40"/>
          <w:sz w:val="22"/>
        </w:rPr>
        <w:t> </w:t>
      </w:r>
      <w:r>
        <w:rPr>
          <w:sz w:val="22"/>
        </w:rPr>
        <w:t>effects</w:t>
      </w:r>
      <w:r>
        <w:rPr>
          <w:spacing w:val="40"/>
          <w:sz w:val="22"/>
        </w:rPr>
        <w:t> </w:t>
      </w:r>
      <w:r>
        <w:rPr>
          <w:sz w:val="22"/>
        </w:rPr>
        <w:t>of</w:t>
      </w:r>
      <w:r>
        <w:rPr>
          <w:spacing w:val="40"/>
          <w:sz w:val="22"/>
        </w:rPr>
        <w:t> </w:t>
      </w:r>
      <w:r>
        <w:rPr>
          <w:sz w:val="22"/>
        </w:rPr>
        <w:t>acute</w:t>
      </w:r>
      <w:r>
        <w:rPr>
          <w:spacing w:val="40"/>
          <w:sz w:val="22"/>
        </w:rPr>
        <w:t> </w:t>
      </w:r>
      <w:r>
        <w:rPr>
          <w:sz w:val="22"/>
        </w:rPr>
        <w:t>exposure</w:t>
      </w:r>
      <w:r>
        <w:rPr>
          <w:spacing w:val="40"/>
          <w:sz w:val="22"/>
        </w:rPr>
        <w:t> </w:t>
      </w:r>
      <w:r>
        <w:rPr>
          <w:sz w:val="22"/>
        </w:rPr>
        <w:t>to generator exhaust fumes, producing 100 – 150</w:t>
      </w:r>
      <w:r>
        <w:rPr>
          <w:spacing w:val="40"/>
          <w:sz w:val="22"/>
        </w:rPr>
        <w:t> </w:t>
      </w:r>
      <w:r>
        <w:rPr>
          <w:sz w:val="22"/>
        </w:rPr>
        <w:t>ppm of CO on learning, memory and</w:t>
      </w:r>
      <w:r>
        <w:rPr>
          <w:spacing w:val="40"/>
          <w:sz w:val="22"/>
        </w:rPr>
        <w:t> </w:t>
      </w:r>
      <w:r>
        <w:rPr>
          <w:sz w:val="22"/>
        </w:rPr>
        <w:t>motor coordination in albino mice.</w:t>
      </w:r>
    </w:p>
    <w:p>
      <w:pPr>
        <w:pStyle w:val="BodyText"/>
      </w:pPr>
    </w:p>
    <w:p>
      <w:pPr>
        <w:pStyle w:val="BodyText"/>
        <w:spacing w:before="13"/>
      </w:pPr>
    </w:p>
    <w:p>
      <w:pPr>
        <w:pStyle w:val="Heading3"/>
        <w:numPr>
          <w:ilvl w:val="2"/>
          <w:numId w:val="15"/>
        </w:numPr>
        <w:tabs>
          <w:tab w:pos="1171" w:val="left" w:leader="none"/>
        </w:tabs>
        <w:spacing w:line="240" w:lineRule="auto" w:before="1" w:after="0"/>
        <w:ind w:left="1171" w:right="0" w:hanging="506"/>
        <w:jc w:val="both"/>
      </w:pPr>
      <w:r>
        <w:rPr/>
        <w:t>Specific</w:t>
      </w:r>
      <w:r>
        <w:rPr>
          <w:spacing w:val="10"/>
        </w:rPr>
        <w:t> </w:t>
      </w:r>
      <w:r>
        <w:rPr/>
        <w:t>Objectives</w:t>
      </w:r>
      <w:r>
        <w:rPr>
          <w:spacing w:val="14"/>
        </w:rPr>
        <w:t> </w:t>
      </w:r>
      <w:r>
        <w:rPr/>
        <w:t>included</w:t>
      </w:r>
      <w:r>
        <w:rPr>
          <w:spacing w:val="15"/>
        </w:rPr>
        <w:t> </w:t>
      </w:r>
      <w:r>
        <w:rPr/>
        <w:t>the</w:t>
      </w:r>
      <w:r>
        <w:rPr>
          <w:spacing w:val="17"/>
        </w:rPr>
        <w:t> </w:t>
      </w:r>
      <w:r>
        <w:rPr>
          <w:spacing w:val="-2"/>
        </w:rPr>
        <w:t>following</w:t>
      </w:r>
    </w:p>
    <w:p>
      <w:pPr>
        <w:pStyle w:val="BodyText"/>
        <w:spacing w:before="7"/>
        <w:rPr>
          <w:b/>
        </w:rPr>
      </w:pPr>
    </w:p>
    <w:p>
      <w:pPr>
        <w:pStyle w:val="ListParagraph"/>
        <w:numPr>
          <w:ilvl w:val="3"/>
          <w:numId w:val="15"/>
        </w:numPr>
        <w:tabs>
          <w:tab w:pos="1342" w:val="left" w:leader="none"/>
        </w:tabs>
        <w:spacing w:line="491" w:lineRule="auto" w:before="0" w:after="0"/>
        <w:ind w:left="1342" w:right="902" w:hanging="456"/>
        <w:jc w:val="left"/>
        <w:rPr>
          <w:sz w:val="22"/>
        </w:rPr>
      </w:pPr>
      <w:r>
        <w:rPr>
          <w:sz w:val="22"/>
        </w:rPr>
        <w:t>To</w:t>
      </w:r>
      <w:r>
        <w:rPr>
          <w:spacing w:val="80"/>
          <w:sz w:val="22"/>
        </w:rPr>
        <w:t> </w:t>
      </w:r>
      <w:r>
        <w:rPr>
          <w:sz w:val="22"/>
        </w:rPr>
        <w:t>assess</w:t>
      </w:r>
      <w:r>
        <w:rPr>
          <w:spacing w:val="79"/>
          <w:sz w:val="22"/>
        </w:rPr>
        <w:t> </w:t>
      </w:r>
      <w:r>
        <w:rPr>
          <w:sz w:val="22"/>
        </w:rPr>
        <w:t>the</w:t>
      </w:r>
      <w:r>
        <w:rPr>
          <w:spacing w:val="80"/>
          <w:sz w:val="22"/>
        </w:rPr>
        <w:t> </w:t>
      </w:r>
      <w:r>
        <w:rPr>
          <w:sz w:val="22"/>
        </w:rPr>
        <w:t>learning</w:t>
      </w:r>
      <w:r>
        <w:rPr>
          <w:spacing w:val="78"/>
          <w:sz w:val="22"/>
        </w:rPr>
        <w:t> </w:t>
      </w:r>
      <w:r>
        <w:rPr>
          <w:sz w:val="22"/>
        </w:rPr>
        <w:t>retention</w:t>
      </w:r>
      <w:r>
        <w:rPr>
          <w:spacing w:val="78"/>
          <w:sz w:val="22"/>
        </w:rPr>
        <w:t> </w:t>
      </w:r>
      <w:r>
        <w:rPr>
          <w:sz w:val="22"/>
        </w:rPr>
        <w:t>task</w:t>
      </w:r>
      <w:r>
        <w:rPr>
          <w:spacing w:val="78"/>
          <w:sz w:val="22"/>
        </w:rPr>
        <w:t> </w:t>
      </w:r>
      <w:r>
        <w:rPr>
          <w:sz w:val="22"/>
        </w:rPr>
        <w:t>of</w:t>
      </w:r>
      <w:r>
        <w:rPr>
          <w:spacing w:val="77"/>
          <w:sz w:val="22"/>
        </w:rPr>
        <w:t> </w:t>
      </w:r>
      <w:r>
        <w:rPr>
          <w:sz w:val="22"/>
        </w:rPr>
        <w:t>the</w:t>
      </w:r>
      <w:r>
        <w:rPr>
          <w:spacing w:val="80"/>
          <w:sz w:val="22"/>
        </w:rPr>
        <w:t> </w:t>
      </w:r>
      <w:r>
        <w:rPr>
          <w:sz w:val="22"/>
        </w:rPr>
        <w:t>CO-exposed</w:t>
      </w:r>
      <w:r>
        <w:rPr>
          <w:spacing w:val="80"/>
          <w:sz w:val="22"/>
        </w:rPr>
        <w:t> </w:t>
      </w:r>
      <w:r>
        <w:rPr>
          <w:sz w:val="22"/>
        </w:rPr>
        <w:t>and</w:t>
      </w:r>
      <w:r>
        <w:rPr>
          <w:spacing w:val="80"/>
          <w:sz w:val="22"/>
        </w:rPr>
        <w:t> </w:t>
      </w:r>
      <w:r>
        <w:rPr>
          <w:sz w:val="22"/>
        </w:rPr>
        <w:t>non-exposed animals using the elevated plus maze (EPM).</w:t>
      </w:r>
    </w:p>
    <w:p>
      <w:pPr>
        <w:spacing w:after="0" w:line="491" w:lineRule="auto"/>
        <w:jc w:val="left"/>
        <w:rPr>
          <w:sz w:val="22"/>
        </w:rPr>
        <w:sectPr>
          <w:pgSz w:w="12240" w:h="15840"/>
          <w:pgMar w:header="0" w:footer="916" w:top="1260" w:bottom="1100" w:left="1720" w:right="960"/>
        </w:sectPr>
      </w:pPr>
    </w:p>
    <w:p>
      <w:pPr>
        <w:pStyle w:val="ListParagraph"/>
        <w:numPr>
          <w:ilvl w:val="3"/>
          <w:numId w:val="15"/>
        </w:numPr>
        <w:tabs>
          <w:tab w:pos="1342" w:val="left" w:leader="none"/>
        </w:tabs>
        <w:spacing w:line="491" w:lineRule="auto" w:before="75" w:after="0"/>
        <w:ind w:left="1342" w:right="904" w:hanging="519"/>
        <w:jc w:val="left"/>
        <w:rPr>
          <w:sz w:val="22"/>
        </w:rPr>
      </w:pPr>
      <w:r>
        <w:rPr>
          <w:sz w:val="22"/>
        </w:rPr>
        <w:t>To</w:t>
      </w:r>
      <w:r>
        <w:rPr>
          <w:spacing w:val="40"/>
          <w:sz w:val="22"/>
        </w:rPr>
        <w:t> </w:t>
      </w:r>
      <w:r>
        <w:rPr>
          <w:sz w:val="22"/>
        </w:rPr>
        <w:t>assess</w:t>
      </w:r>
      <w:r>
        <w:rPr>
          <w:spacing w:val="32"/>
          <w:sz w:val="22"/>
        </w:rPr>
        <w:t> </w:t>
      </w:r>
      <w:r>
        <w:rPr>
          <w:sz w:val="22"/>
        </w:rPr>
        <w:t>the</w:t>
      </w:r>
      <w:r>
        <w:rPr>
          <w:spacing w:val="34"/>
          <w:sz w:val="22"/>
        </w:rPr>
        <w:t> </w:t>
      </w:r>
      <w:r>
        <w:rPr>
          <w:sz w:val="22"/>
        </w:rPr>
        <w:t>motor</w:t>
      </w:r>
      <w:r>
        <w:rPr>
          <w:spacing w:val="31"/>
          <w:sz w:val="22"/>
        </w:rPr>
        <w:t> </w:t>
      </w:r>
      <w:r>
        <w:rPr>
          <w:sz w:val="22"/>
        </w:rPr>
        <w:t>coordination of</w:t>
      </w:r>
      <w:r>
        <w:rPr>
          <w:spacing w:val="29"/>
          <w:sz w:val="22"/>
        </w:rPr>
        <w:t> </w:t>
      </w:r>
      <w:r>
        <w:rPr>
          <w:sz w:val="22"/>
        </w:rPr>
        <w:t>the</w:t>
      </w:r>
      <w:r>
        <w:rPr>
          <w:spacing w:val="40"/>
          <w:sz w:val="22"/>
        </w:rPr>
        <w:t> </w:t>
      </w:r>
      <w:r>
        <w:rPr>
          <w:sz w:val="22"/>
        </w:rPr>
        <w:t>CO-exposed</w:t>
      </w:r>
      <w:r>
        <w:rPr>
          <w:spacing w:val="36"/>
          <w:sz w:val="22"/>
        </w:rPr>
        <w:t> </w:t>
      </w:r>
      <w:r>
        <w:rPr>
          <w:sz w:val="22"/>
        </w:rPr>
        <w:t>and</w:t>
      </w:r>
      <w:r>
        <w:rPr>
          <w:spacing w:val="40"/>
          <w:sz w:val="22"/>
        </w:rPr>
        <w:t> </w:t>
      </w:r>
      <w:r>
        <w:rPr>
          <w:sz w:val="22"/>
        </w:rPr>
        <w:t>non-exposed</w:t>
      </w:r>
      <w:r>
        <w:rPr>
          <w:spacing w:val="36"/>
          <w:sz w:val="22"/>
        </w:rPr>
        <w:t> </w:t>
      </w:r>
      <w:r>
        <w:rPr>
          <w:sz w:val="22"/>
        </w:rPr>
        <w:t>animals using the beam walk test.</w:t>
      </w:r>
    </w:p>
    <w:p>
      <w:pPr>
        <w:pStyle w:val="ListParagraph"/>
        <w:numPr>
          <w:ilvl w:val="3"/>
          <w:numId w:val="15"/>
        </w:numPr>
        <w:tabs>
          <w:tab w:pos="1342" w:val="left" w:leader="none"/>
        </w:tabs>
        <w:spacing w:line="491" w:lineRule="auto" w:before="0" w:after="0"/>
        <w:ind w:left="1342" w:right="897" w:hanging="581"/>
        <w:jc w:val="left"/>
        <w:rPr>
          <w:sz w:val="22"/>
        </w:rPr>
      </w:pPr>
      <w:r>
        <w:rPr>
          <w:sz w:val="22"/>
        </w:rPr>
        <w:t>To</w:t>
      </w:r>
      <w:r>
        <w:rPr>
          <w:spacing w:val="40"/>
          <w:sz w:val="22"/>
        </w:rPr>
        <w:t> </w:t>
      </w:r>
      <w:r>
        <w:rPr>
          <w:sz w:val="22"/>
        </w:rPr>
        <w:t>compare</w:t>
      </w:r>
      <w:r>
        <w:rPr>
          <w:spacing w:val="40"/>
          <w:sz w:val="22"/>
        </w:rPr>
        <w:t> </w:t>
      </w:r>
      <w:r>
        <w:rPr>
          <w:sz w:val="22"/>
        </w:rPr>
        <w:t>the</w:t>
      </w:r>
      <w:r>
        <w:rPr>
          <w:spacing w:val="40"/>
          <w:sz w:val="22"/>
        </w:rPr>
        <w:t> </w:t>
      </w:r>
      <w:r>
        <w:rPr>
          <w:sz w:val="22"/>
        </w:rPr>
        <w:t>blood</w:t>
      </w:r>
      <w:r>
        <w:rPr>
          <w:spacing w:val="40"/>
          <w:sz w:val="22"/>
        </w:rPr>
        <w:t> </w:t>
      </w:r>
      <w:r>
        <w:rPr>
          <w:sz w:val="22"/>
        </w:rPr>
        <w:t>Carboxy-Hemoglobin</w:t>
      </w:r>
      <w:r>
        <w:rPr>
          <w:spacing w:val="40"/>
          <w:sz w:val="22"/>
        </w:rPr>
        <w:t> </w:t>
      </w:r>
      <w:r>
        <w:rPr>
          <w:sz w:val="22"/>
        </w:rPr>
        <w:t>(COHb)</w:t>
      </w:r>
      <w:r>
        <w:rPr>
          <w:spacing w:val="40"/>
          <w:sz w:val="22"/>
        </w:rPr>
        <w:t> </w:t>
      </w:r>
      <w:r>
        <w:rPr>
          <w:sz w:val="22"/>
        </w:rPr>
        <w:t>level</w:t>
      </w:r>
      <w:r>
        <w:rPr>
          <w:spacing w:val="40"/>
          <w:sz w:val="22"/>
        </w:rPr>
        <w:t> </w:t>
      </w:r>
      <w:r>
        <w:rPr>
          <w:sz w:val="22"/>
        </w:rPr>
        <w:t>with</w:t>
      </w:r>
      <w:r>
        <w:rPr>
          <w:spacing w:val="40"/>
          <w:sz w:val="22"/>
        </w:rPr>
        <w:t> </w:t>
      </w:r>
      <w:r>
        <w:rPr>
          <w:sz w:val="22"/>
        </w:rPr>
        <w:t>the</w:t>
      </w:r>
      <w:r>
        <w:rPr>
          <w:spacing w:val="40"/>
          <w:sz w:val="22"/>
        </w:rPr>
        <w:t> </w:t>
      </w:r>
      <w:r>
        <w:rPr>
          <w:sz w:val="22"/>
        </w:rPr>
        <w:t>exposure Dose in the animals using the spectrophotometric method.</w:t>
      </w:r>
    </w:p>
    <w:p>
      <w:pPr>
        <w:pStyle w:val="BodyText"/>
      </w:pPr>
    </w:p>
    <w:p>
      <w:pPr>
        <w:pStyle w:val="BodyText"/>
        <w:spacing w:before="16"/>
      </w:pPr>
    </w:p>
    <w:p>
      <w:pPr>
        <w:pStyle w:val="Heading2"/>
        <w:numPr>
          <w:ilvl w:val="1"/>
          <w:numId w:val="15"/>
        </w:numPr>
        <w:tabs>
          <w:tab w:pos="1009" w:val="left" w:leader="none"/>
        </w:tabs>
        <w:spacing w:line="240" w:lineRule="auto" w:before="1" w:after="0"/>
        <w:ind w:left="1009" w:right="0" w:hanging="344"/>
        <w:jc w:val="left"/>
      </w:pPr>
      <w:bookmarkStart w:name="_TOC_250041" w:id="16"/>
      <w:r>
        <w:rPr/>
        <w:t>RESEARCH</w:t>
      </w:r>
      <w:r>
        <w:rPr>
          <w:spacing w:val="18"/>
        </w:rPr>
        <w:t> </w:t>
      </w:r>
      <w:bookmarkEnd w:id="16"/>
      <w:r>
        <w:rPr>
          <w:spacing w:val="-2"/>
        </w:rPr>
        <w:t>HYPOTHESIS</w:t>
      </w:r>
    </w:p>
    <w:p>
      <w:pPr>
        <w:pStyle w:val="BodyText"/>
        <w:spacing w:before="7"/>
        <w:rPr>
          <w:b/>
        </w:rPr>
      </w:pPr>
    </w:p>
    <w:p>
      <w:pPr>
        <w:pStyle w:val="BodyText"/>
        <w:spacing w:line="491" w:lineRule="auto"/>
        <w:ind w:left="665" w:right="1109"/>
      </w:pPr>
      <w:r>
        <w:rPr/>
        <w:t>Acute exposure to generator exhaust fumes does not affect learning, memory and motor</w:t>
      </w:r>
      <w:r>
        <w:rPr>
          <w:spacing w:val="40"/>
        </w:rPr>
        <w:t> </w:t>
      </w:r>
      <w:r>
        <w:rPr/>
        <w:t>coordination in Albino mice.</w:t>
      </w:r>
    </w:p>
    <w:p>
      <w:pPr>
        <w:spacing w:after="0" w:line="491" w:lineRule="auto"/>
        <w:sectPr>
          <w:pgSz w:w="12240" w:h="15840"/>
          <w:pgMar w:header="0" w:footer="916" w:top="1260" w:bottom="1100" w:left="1720" w:right="960"/>
        </w:sectPr>
      </w:pPr>
    </w:p>
    <w:p>
      <w:pPr>
        <w:pStyle w:val="Heading1"/>
        <w:ind w:right="238"/>
      </w:pPr>
      <w:bookmarkStart w:name="_TOC_250040" w:id="17"/>
      <w:r>
        <w:rPr/>
        <w:t>CHAPTER</w:t>
      </w:r>
      <w:r>
        <w:rPr>
          <w:spacing w:val="14"/>
        </w:rPr>
        <w:t> </w:t>
      </w:r>
      <w:bookmarkEnd w:id="17"/>
      <w:r>
        <w:rPr>
          <w:spacing w:val="-5"/>
        </w:rPr>
        <w:t>TWO</w:t>
      </w:r>
    </w:p>
    <w:p>
      <w:pPr>
        <w:pStyle w:val="BodyText"/>
        <w:rPr>
          <w:b/>
        </w:rPr>
      </w:pPr>
    </w:p>
    <w:p>
      <w:pPr>
        <w:pStyle w:val="BodyText"/>
        <w:rPr>
          <w:b/>
        </w:rPr>
      </w:pPr>
    </w:p>
    <w:p>
      <w:pPr>
        <w:pStyle w:val="BodyText"/>
        <w:spacing w:before="79"/>
        <w:rPr>
          <w:b/>
        </w:rPr>
      </w:pPr>
    </w:p>
    <w:p>
      <w:pPr>
        <w:pStyle w:val="Heading2"/>
        <w:numPr>
          <w:ilvl w:val="1"/>
          <w:numId w:val="16"/>
        </w:numPr>
        <w:tabs>
          <w:tab w:pos="1008" w:val="left" w:leader="none"/>
        </w:tabs>
        <w:spacing w:line="240" w:lineRule="auto" w:before="0" w:after="0"/>
        <w:ind w:left="1008" w:right="0" w:hanging="343"/>
        <w:jc w:val="left"/>
      </w:pPr>
      <w:bookmarkStart w:name="_TOC_250039" w:id="18"/>
      <w:r>
        <w:rPr/>
        <w:t>LITERATURE</w:t>
      </w:r>
      <w:r>
        <w:rPr>
          <w:spacing w:val="20"/>
        </w:rPr>
        <w:t> </w:t>
      </w:r>
      <w:bookmarkEnd w:id="18"/>
      <w:r>
        <w:rPr>
          <w:spacing w:val="-2"/>
        </w:rPr>
        <w:t>REVIEW</w:t>
      </w:r>
    </w:p>
    <w:p>
      <w:pPr>
        <w:pStyle w:val="BodyText"/>
        <w:rPr>
          <w:b/>
        </w:rPr>
      </w:pPr>
    </w:p>
    <w:p>
      <w:pPr>
        <w:pStyle w:val="BodyText"/>
        <w:rPr>
          <w:b/>
        </w:rPr>
      </w:pPr>
    </w:p>
    <w:p>
      <w:pPr>
        <w:pStyle w:val="BodyText"/>
        <w:spacing w:before="24"/>
        <w:rPr>
          <w:b/>
        </w:rPr>
      </w:pPr>
    </w:p>
    <w:p>
      <w:pPr>
        <w:pStyle w:val="ListParagraph"/>
        <w:numPr>
          <w:ilvl w:val="1"/>
          <w:numId w:val="16"/>
        </w:numPr>
        <w:tabs>
          <w:tab w:pos="979" w:val="left" w:leader="none"/>
        </w:tabs>
        <w:spacing w:line="240" w:lineRule="auto" w:before="0" w:after="0"/>
        <w:ind w:left="979" w:right="0" w:hanging="314"/>
        <w:jc w:val="left"/>
        <w:rPr>
          <w:b/>
          <w:sz w:val="20"/>
        </w:rPr>
      </w:pPr>
      <w:r>
        <w:rPr>
          <w:b/>
          <w:sz w:val="20"/>
        </w:rPr>
        <w:t>NEUROTOXICITY</w:t>
      </w:r>
      <w:r>
        <w:rPr>
          <w:b/>
          <w:spacing w:val="21"/>
          <w:sz w:val="20"/>
        </w:rPr>
        <w:t> </w:t>
      </w:r>
      <w:r>
        <w:rPr>
          <w:b/>
          <w:sz w:val="20"/>
        </w:rPr>
        <w:t>OF</w:t>
      </w:r>
      <w:r>
        <w:rPr>
          <w:b/>
          <w:spacing w:val="26"/>
          <w:sz w:val="20"/>
        </w:rPr>
        <w:t> </w:t>
      </w:r>
      <w:r>
        <w:rPr>
          <w:b/>
          <w:sz w:val="20"/>
        </w:rPr>
        <w:t>CARBON</w:t>
      </w:r>
      <w:r>
        <w:rPr>
          <w:b/>
          <w:spacing w:val="21"/>
          <w:sz w:val="20"/>
        </w:rPr>
        <w:t> </w:t>
      </w:r>
      <w:r>
        <w:rPr>
          <w:b/>
          <w:spacing w:val="-2"/>
          <w:sz w:val="20"/>
        </w:rPr>
        <w:t>MONOXIDE</w:t>
      </w:r>
    </w:p>
    <w:p>
      <w:pPr>
        <w:pStyle w:val="BodyText"/>
        <w:spacing w:before="6"/>
        <w:rPr>
          <w:b/>
          <w:sz w:val="20"/>
        </w:rPr>
      </w:pPr>
    </w:p>
    <w:p>
      <w:pPr>
        <w:pStyle w:val="BodyText"/>
        <w:spacing w:line="491" w:lineRule="auto" w:before="1"/>
        <w:ind w:left="665" w:right="896"/>
        <w:jc w:val="both"/>
      </w:pPr>
      <w:r>
        <w:rPr/>
        <w:t>Toxins are among the many causes of neurological diseases from antiquity to contemporary times (Hunter, 1978). Although CO has long been known to cause acute central nervous system (CNS) damage, it is only recently that delayed CNS injury in people poisoned by this molecule was noticed (Kwon </w:t>
      </w:r>
      <w:r>
        <w:rPr>
          <w:i/>
        </w:rPr>
        <w:t>et al., </w:t>
      </w:r>
      <w:r>
        <w:rPr/>
        <w:t>2004). Toxins and environmental conditions are important and under-recognized causes of neurological diseases; in addition to extremes of cold, heat, and altitude. In 1980s, the acknowledged estimate was about 8 million people who worked full-time with substances known to be neurotoxic (Anger, 1986). At that time, about 750 chemicals were suspected to be neurotoxic</w:t>
      </w:r>
      <w:r>
        <w:rPr>
          <w:spacing w:val="40"/>
        </w:rPr>
        <w:t> </w:t>
      </w:r>
      <w:r>
        <w:rPr/>
        <w:t>to</w:t>
      </w:r>
      <w:r>
        <w:rPr>
          <w:spacing w:val="40"/>
        </w:rPr>
        <w:t> </w:t>
      </w:r>
      <w:r>
        <w:rPr/>
        <w:t>humans</w:t>
      </w:r>
      <w:r>
        <w:rPr>
          <w:spacing w:val="40"/>
        </w:rPr>
        <w:t> </w:t>
      </w:r>
      <w:r>
        <w:rPr/>
        <w:t>based</w:t>
      </w:r>
      <w:r>
        <w:rPr>
          <w:spacing w:val="40"/>
        </w:rPr>
        <w:t> </w:t>
      </w:r>
      <w:r>
        <w:rPr/>
        <w:t>on</w:t>
      </w:r>
      <w:r>
        <w:rPr>
          <w:spacing w:val="40"/>
        </w:rPr>
        <w:t> </w:t>
      </w:r>
      <w:r>
        <w:rPr/>
        <w:t>available</w:t>
      </w:r>
      <w:r>
        <w:rPr>
          <w:spacing w:val="40"/>
        </w:rPr>
        <w:t> </w:t>
      </w:r>
      <w:r>
        <w:rPr/>
        <w:t>scientific</w:t>
      </w:r>
      <w:r>
        <w:rPr>
          <w:spacing w:val="40"/>
        </w:rPr>
        <w:t> </w:t>
      </w:r>
      <w:r>
        <w:rPr/>
        <w:t>evidence</w:t>
      </w:r>
      <w:r>
        <w:rPr>
          <w:spacing w:val="40"/>
        </w:rPr>
        <w:t> </w:t>
      </w:r>
      <w:r>
        <w:rPr/>
        <w:t>(Anger,</w:t>
      </w:r>
      <w:r>
        <w:rPr>
          <w:spacing w:val="40"/>
        </w:rPr>
        <w:t> </w:t>
      </w:r>
      <w:r>
        <w:rPr/>
        <w:t>1984,</w:t>
      </w:r>
      <w:r>
        <w:rPr>
          <w:spacing w:val="40"/>
        </w:rPr>
        <w:t> </w:t>
      </w:r>
      <w:r>
        <w:rPr/>
        <w:t>1986). Today</w:t>
      </w:r>
      <w:r>
        <w:rPr>
          <w:spacing w:val="24"/>
        </w:rPr>
        <w:t> </w:t>
      </w:r>
      <w:r>
        <w:rPr/>
        <w:t>when</w:t>
      </w:r>
      <w:r>
        <w:rPr>
          <w:spacing w:val="29"/>
        </w:rPr>
        <w:t> </w:t>
      </w:r>
      <w:r>
        <w:rPr/>
        <w:t>most</w:t>
      </w:r>
      <w:r>
        <w:rPr>
          <w:spacing w:val="37"/>
        </w:rPr>
        <w:t> </w:t>
      </w:r>
      <w:r>
        <w:rPr/>
        <w:t>countries</w:t>
      </w:r>
      <w:r>
        <w:rPr>
          <w:spacing w:val="36"/>
        </w:rPr>
        <w:t> </w:t>
      </w:r>
      <w:r>
        <w:rPr/>
        <w:t>are</w:t>
      </w:r>
      <w:r>
        <w:rPr>
          <w:spacing w:val="38"/>
        </w:rPr>
        <w:t> </w:t>
      </w:r>
      <w:r>
        <w:rPr/>
        <w:t>boasting</w:t>
      </w:r>
      <w:r>
        <w:rPr>
          <w:spacing w:val="29"/>
        </w:rPr>
        <w:t> </w:t>
      </w:r>
      <w:r>
        <w:rPr/>
        <w:t>on</w:t>
      </w:r>
      <w:r>
        <w:rPr>
          <w:spacing w:val="37"/>
        </w:rPr>
        <w:t> </w:t>
      </w:r>
      <w:r>
        <w:rPr/>
        <w:t>industrial</w:t>
      </w:r>
      <w:r>
        <w:rPr>
          <w:spacing w:val="31"/>
        </w:rPr>
        <w:t> </w:t>
      </w:r>
      <w:r>
        <w:rPr/>
        <w:t>revolution</w:t>
      </w:r>
      <w:r>
        <w:rPr>
          <w:spacing w:val="29"/>
        </w:rPr>
        <w:t> </w:t>
      </w:r>
      <w:r>
        <w:rPr/>
        <w:t>to</w:t>
      </w:r>
      <w:r>
        <w:rPr>
          <w:spacing w:val="40"/>
        </w:rPr>
        <w:t> </w:t>
      </w:r>
      <w:r>
        <w:rPr/>
        <w:t>show</w:t>
      </w:r>
      <w:r>
        <w:rPr>
          <w:spacing w:val="38"/>
        </w:rPr>
        <w:t> </w:t>
      </w:r>
      <w:r>
        <w:rPr/>
        <w:t>their</w:t>
      </w:r>
      <w:r>
        <w:rPr>
          <w:spacing w:val="40"/>
        </w:rPr>
        <w:t> </w:t>
      </w:r>
      <w:r>
        <w:rPr/>
        <w:t>power, an</w:t>
      </w:r>
      <w:r>
        <w:rPr>
          <w:spacing w:val="40"/>
        </w:rPr>
        <w:t> </w:t>
      </w:r>
      <w:r>
        <w:rPr/>
        <w:t>unadventurous</w:t>
      </w:r>
      <w:r>
        <w:rPr>
          <w:spacing w:val="40"/>
        </w:rPr>
        <w:t> </w:t>
      </w:r>
      <w:r>
        <w:rPr/>
        <w:t>estimate</w:t>
      </w:r>
      <w:r>
        <w:rPr>
          <w:spacing w:val="40"/>
        </w:rPr>
        <w:t> </w:t>
      </w:r>
      <w:r>
        <w:rPr/>
        <w:t>might</w:t>
      </w:r>
      <w:r>
        <w:rPr>
          <w:spacing w:val="40"/>
        </w:rPr>
        <w:t> </w:t>
      </w:r>
      <w:r>
        <w:rPr/>
        <w:t>therefore</w:t>
      </w:r>
      <w:r>
        <w:rPr>
          <w:spacing w:val="40"/>
        </w:rPr>
        <w:t> </w:t>
      </w:r>
      <w:r>
        <w:rPr/>
        <w:t>suggest</w:t>
      </w:r>
      <w:r>
        <w:rPr>
          <w:spacing w:val="40"/>
        </w:rPr>
        <w:t> </w:t>
      </w:r>
      <w:r>
        <w:rPr/>
        <w:t>more</w:t>
      </w:r>
      <w:r>
        <w:rPr>
          <w:spacing w:val="40"/>
        </w:rPr>
        <w:t> </w:t>
      </w:r>
      <w:r>
        <w:rPr/>
        <w:t>than</w:t>
      </w:r>
      <w:r>
        <w:rPr>
          <w:spacing w:val="40"/>
        </w:rPr>
        <w:t> </w:t>
      </w:r>
      <w:r>
        <w:rPr/>
        <w:t>1000.</w:t>
      </w:r>
      <w:r>
        <w:rPr>
          <w:spacing w:val="40"/>
        </w:rPr>
        <w:t> </w:t>
      </w:r>
      <w:r>
        <w:rPr/>
        <w:t>The</w:t>
      </w:r>
      <w:r>
        <w:rPr>
          <w:spacing w:val="40"/>
        </w:rPr>
        <w:t> </w:t>
      </w:r>
      <w:r>
        <w:rPr/>
        <w:t>level</w:t>
      </w:r>
      <w:r>
        <w:rPr>
          <w:spacing w:val="40"/>
        </w:rPr>
        <w:t> </w:t>
      </w:r>
      <w:r>
        <w:rPr/>
        <w:t>of evidence for whether a substance is truly</w:t>
      </w:r>
      <w:r>
        <w:rPr>
          <w:spacing w:val="-8"/>
        </w:rPr>
        <w:t> </w:t>
      </w:r>
      <w:r>
        <w:rPr/>
        <w:t>toxic to the human nervous system varies from substance to substance. Some evidences are purely experimental, where as others are</w:t>
      </w:r>
      <w:r>
        <w:rPr>
          <w:spacing w:val="40"/>
        </w:rPr>
        <w:t> </w:t>
      </w:r>
      <w:r>
        <w:rPr/>
        <w:t>based on strong clinical association (Myrtill </w:t>
      </w:r>
      <w:r>
        <w:rPr>
          <w:i/>
        </w:rPr>
        <w:t>et al</w:t>
      </w:r>
      <w:r>
        <w:rPr/>
        <w:t>., 2010).</w:t>
      </w:r>
    </w:p>
    <w:p>
      <w:pPr>
        <w:pStyle w:val="BodyText"/>
      </w:pPr>
    </w:p>
    <w:p>
      <w:pPr>
        <w:pStyle w:val="BodyText"/>
        <w:spacing w:before="18"/>
      </w:pPr>
    </w:p>
    <w:p>
      <w:pPr>
        <w:pStyle w:val="BodyText"/>
        <w:spacing w:line="491" w:lineRule="auto" w:before="1"/>
        <w:ind w:left="665" w:right="900"/>
        <w:jc w:val="both"/>
      </w:pPr>
      <w:r>
        <w:rPr/>
        <w:t>Although the CNS is partially protected by the blood–brain barrier and the peripheral nervous system by the blood–nerve barrier, the nervous system remains susceptible to toxic injury (Carl-johan </w:t>
      </w:r>
      <w:r>
        <w:rPr>
          <w:i/>
        </w:rPr>
        <w:t>et al</w:t>
      </w:r>
      <w:r>
        <w:rPr/>
        <w:t>., 2012). This is because non-polar highly lipid–soluble substances</w:t>
      </w:r>
      <w:r>
        <w:rPr>
          <w:spacing w:val="32"/>
        </w:rPr>
        <w:t> </w:t>
      </w:r>
      <w:r>
        <w:rPr/>
        <w:t>generally</w:t>
      </w:r>
      <w:r>
        <w:rPr>
          <w:spacing w:val="25"/>
        </w:rPr>
        <w:t> </w:t>
      </w:r>
      <w:r>
        <w:rPr/>
        <w:t>have</w:t>
      </w:r>
      <w:r>
        <w:rPr>
          <w:spacing w:val="34"/>
        </w:rPr>
        <w:t> </w:t>
      </w:r>
      <w:r>
        <w:rPr/>
        <w:t>easier</w:t>
      </w:r>
      <w:r>
        <w:rPr>
          <w:spacing w:val="35"/>
        </w:rPr>
        <w:t> </w:t>
      </w:r>
      <w:r>
        <w:rPr/>
        <w:t>access</w:t>
      </w:r>
      <w:r>
        <w:rPr>
          <w:spacing w:val="32"/>
        </w:rPr>
        <w:t> </w:t>
      </w:r>
      <w:r>
        <w:rPr/>
        <w:t>to</w:t>
      </w:r>
      <w:r>
        <w:rPr>
          <w:spacing w:val="36"/>
        </w:rPr>
        <w:t> </w:t>
      </w:r>
      <w:r>
        <w:rPr/>
        <w:t>cross</w:t>
      </w:r>
      <w:r>
        <w:rPr>
          <w:spacing w:val="32"/>
        </w:rPr>
        <w:t> </w:t>
      </w:r>
      <w:r>
        <w:rPr/>
        <w:t>most</w:t>
      </w:r>
      <w:r>
        <w:rPr>
          <w:spacing w:val="33"/>
        </w:rPr>
        <w:t> </w:t>
      </w:r>
      <w:r>
        <w:rPr/>
        <w:t>membranes</w:t>
      </w:r>
      <w:r>
        <w:rPr>
          <w:spacing w:val="32"/>
        </w:rPr>
        <w:t> </w:t>
      </w:r>
      <w:r>
        <w:rPr/>
        <w:t>in</w:t>
      </w:r>
      <w:r>
        <w:rPr>
          <w:spacing w:val="25"/>
        </w:rPr>
        <w:t> </w:t>
      </w:r>
      <w:r>
        <w:rPr/>
        <w:t>the</w:t>
      </w:r>
      <w:r>
        <w:rPr>
          <w:spacing w:val="34"/>
        </w:rPr>
        <w:t> </w:t>
      </w:r>
      <w:r>
        <w:rPr/>
        <w:t>body (Friis</w:t>
      </w:r>
      <w:r>
        <w:rPr>
          <w:spacing w:val="32"/>
        </w:rPr>
        <w:t> </w:t>
      </w:r>
      <w:r>
        <w:rPr>
          <w:i/>
        </w:rPr>
        <w:t>et al</w:t>
      </w:r>
      <w:r>
        <w:rPr/>
        <w:t>.,</w:t>
      </w:r>
      <w:r>
        <w:rPr>
          <w:spacing w:val="54"/>
        </w:rPr>
        <w:t> </w:t>
      </w:r>
      <w:r>
        <w:rPr/>
        <w:t>1980).</w:t>
      </w:r>
      <w:r>
        <w:rPr>
          <w:spacing w:val="61"/>
        </w:rPr>
        <w:t> </w:t>
      </w:r>
      <w:r>
        <w:rPr/>
        <w:t>The</w:t>
      </w:r>
      <w:r>
        <w:rPr>
          <w:spacing w:val="60"/>
        </w:rPr>
        <w:t> </w:t>
      </w:r>
      <w:r>
        <w:rPr/>
        <w:t>effects</w:t>
      </w:r>
      <w:r>
        <w:rPr>
          <w:spacing w:val="53"/>
        </w:rPr>
        <w:t> </w:t>
      </w:r>
      <w:r>
        <w:rPr/>
        <w:t>of</w:t>
      </w:r>
      <w:r>
        <w:rPr>
          <w:spacing w:val="61"/>
        </w:rPr>
        <w:t> </w:t>
      </w:r>
      <w:r>
        <w:rPr/>
        <w:t>neurotoxic</w:t>
      </w:r>
      <w:r>
        <w:rPr>
          <w:spacing w:val="61"/>
        </w:rPr>
        <w:t> </w:t>
      </w:r>
      <w:r>
        <w:rPr/>
        <w:t>agents</w:t>
      </w:r>
      <w:r>
        <w:rPr>
          <w:spacing w:val="52"/>
        </w:rPr>
        <w:t> </w:t>
      </w:r>
      <w:r>
        <w:rPr/>
        <w:t>on</w:t>
      </w:r>
      <w:r>
        <w:rPr>
          <w:spacing w:val="57"/>
        </w:rPr>
        <w:t> </w:t>
      </w:r>
      <w:r>
        <w:rPr/>
        <w:t>the</w:t>
      </w:r>
      <w:r>
        <w:rPr>
          <w:spacing w:val="55"/>
        </w:rPr>
        <w:t> </w:t>
      </w:r>
      <w:r>
        <w:rPr/>
        <w:t>CNS</w:t>
      </w:r>
      <w:r>
        <w:rPr>
          <w:spacing w:val="60"/>
        </w:rPr>
        <w:t> </w:t>
      </w:r>
      <w:r>
        <w:rPr/>
        <w:t>present</w:t>
      </w:r>
      <w:r>
        <w:rPr>
          <w:spacing w:val="59"/>
        </w:rPr>
        <w:t> </w:t>
      </w:r>
      <w:r>
        <w:rPr/>
        <w:t>with</w:t>
      </w:r>
      <w:r>
        <w:rPr>
          <w:spacing w:val="54"/>
        </w:rPr>
        <w:t> </w:t>
      </w:r>
      <w:r>
        <w:rPr/>
        <w:t>wide-</w:t>
      </w:r>
      <w:r>
        <w:rPr>
          <w:spacing w:val="-2"/>
        </w:rPr>
        <w:t>ranging</w:t>
      </w:r>
    </w:p>
    <w:p>
      <w:pPr>
        <w:spacing w:after="0" w:line="491" w:lineRule="auto"/>
        <w:jc w:val="both"/>
        <w:sectPr>
          <w:pgSz w:w="12240" w:h="15840"/>
          <w:pgMar w:header="0" w:footer="916" w:top="1260" w:bottom="1100" w:left="1720" w:right="960"/>
        </w:sectPr>
      </w:pPr>
    </w:p>
    <w:p>
      <w:pPr>
        <w:pStyle w:val="BodyText"/>
        <w:spacing w:line="491" w:lineRule="auto" w:before="75"/>
        <w:ind w:left="665" w:right="896"/>
        <w:jc w:val="both"/>
      </w:pPr>
      <w:r>
        <w:rPr/>
        <w:t>disturbances which may include mental status disturbances (mood disorders, psychosis, encephalopathy, and coma), myelopathy, focal cerebral lesions, seizures, movement disorders, and many peripheral nerve deficits. Yet, some neurotoxic disorders are not easily definable as being caused</w:t>
      </w:r>
      <w:r>
        <w:rPr>
          <w:spacing w:val="32"/>
        </w:rPr>
        <w:t> </w:t>
      </w:r>
      <w:r>
        <w:rPr/>
        <w:t>by a single, specific toxin,</w:t>
      </w:r>
      <w:r>
        <w:rPr>
          <w:spacing w:val="36"/>
        </w:rPr>
        <w:t> </w:t>
      </w:r>
      <w:r>
        <w:rPr/>
        <w:t>such as toxic axonopathies</w:t>
      </w:r>
      <w:r>
        <w:rPr>
          <w:spacing w:val="40"/>
        </w:rPr>
        <w:t> </w:t>
      </w:r>
      <w:r>
        <w:rPr/>
        <w:t>and encephalopathies seen with exposure to mixed organic solvents. Most neurotoxins manifest their effects on a</w:t>
      </w:r>
      <w:r>
        <w:rPr>
          <w:spacing w:val="40"/>
        </w:rPr>
        <w:t> </w:t>
      </w:r>
      <w:r>
        <w:rPr/>
        <w:t>single, specific part of the nervous system;</w:t>
      </w:r>
      <w:r>
        <w:rPr>
          <w:spacing w:val="40"/>
        </w:rPr>
        <w:t> </w:t>
      </w:r>
      <w:r>
        <w:rPr/>
        <w:t>including the cortex,</w:t>
      </w:r>
      <w:r>
        <w:rPr>
          <w:spacing w:val="33"/>
        </w:rPr>
        <w:t> </w:t>
      </w:r>
      <w:r>
        <w:rPr/>
        <w:t>spinal</w:t>
      </w:r>
      <w:r>
        <w:rPr>
          <w:spacing w:val="26"/>
        </w:rPr>
        <w:t> </w:t>
      </w:r>
      <w:r>
        <w:rPr/>
        <w:t>cord,</w:t>
      </w:r>
      <w:r>
        <w:rPr>
          <w:spacing w:val="39"/>
        </w:rPr>
        <w:t> </w:t>
      </w:r>
      <w:r>
        <w:rPr/>
        <w:t>extrapyramidal</w:t>
      </w:r>
      <w:r>
        <w:rPr>
          <w:spacing w:val="38"/>
        </w:rPr>
        <w:t> </w:t>
      </w:r>
      <w:r>
        <w:rPr/>
        <w:t>neurones</w:t>
      </w:r>
      <w:r>
        <w:rPr>
          <w:spacing w:val="31"/>
        </w:rPr>
        <w:t> </w:t>
      </w:r>
      <w:r>
        <w:rPr/>
        <w:t>peripheral</w:t>
      </w:r>
      <w:r>
        <w:rPr>
          <w:spacing w:val="32"/>
        </w:rPr>
        <w:t> </w:t>
      </w:r>
      <w:r>
        <w:rPr/>
        <w:t>nerves,</w:t>
      </w:r>
      <w:r>
        <w:rPr>
          <w:spacing w:val="33"/>
        </w:rPr>
        <w:t> </w:t>
      </w:r>
      <w:r>
        <w:rPr/>
        <w:t>and</w:t>
      </w:r>
      <w:r>
        <w:rPr>
          <w:spacing w:val="40"/>
        </w:rPr>
        <w:t> </w:t>
      </w:r>
      <w:r>
        <w:rPr/>
        <w:t>the</w:t>
      </w:r>
      <w:r>
        <w:rPr>
          <w:spacing w:val="33"/>
        </w:rPr>
        <w:t> </w:t>
      </w:r>
      <w:r>
        <w:rPr/>
        <w:t>syndromes</w:t>
      </w:r>
      <w:r>
        <w:rPr>
          <w:spacing w:val="31"/>
        </w:rPr>
        <w:t> </w:t>
      </w:r>
      <w:r>
        <w:rPr/>
        <w:t>can be somewhat defined by</w:t>
      </w:r>
      <w:r>
        <w:rPr>
          <w:spacing w:val="-1"/>
        </w:rPr>
        <w:t> </w:t>
      </w:r>
      <w:r>
        <w:rPr/>
        <w:t>these presentations. However, the effect of some toxins may be generalized on the nervous system (Kwon </w:t>
      </w:r>
      <w:r>
        <w:rPr>
          <w:i/>
        </w:rPr>
        <w:t>et al., </w:t>
      </w:r>
      <w:r>
        <w:rPr/>
        <w:t>2004).</w:t>
      </w:r>
    </w:p>
    <w:p>
      <w:pPr>
        <w:pStyle w:val="BodyText"/>
      </w:pPr>
    </w:p>
    <w:p>
      <w:pPr>
        <w:pStyle w:val="BodyText"/>
        <w:spacing w:before="20"/>
      </w:pPr>
    </w:p>
    <w:p>
      <w:pPr>
        <w:pStyle w:val="Heading3"/>
        <w:numPr>
          <w:ilvl w:val="2"/>
          <w:numId w:val="16"/>
        </w:numPr>
        <w:tabs>
          <w:tab w:pos="1171" w:val="left" w:leader="none"/>
        </w:tabs>
        <w:spacing w:line="240" w:lineRule="auto" w:before="0" w:after="0"/>
        <w:ind w:left="1171" w:right="0" w:hanging="506"/>
        <w:jc w:val="left"/>
      </w:pPr>
      <w:bookmarkStart w:name="_TOC_250038" w:id="19"/>
      <w:r>
        <w:rPr/>
        <w:t>Factors</w:t>
      </w:r>
      <w:r>
        <w:rPr>
          <w:spacing w:val="11"/>
        </w:rPr>
        <w:t> </w:t>
      </w:r>
      <w:r>
        <w:rPr/>
        <w:t>rendering</w:t>
      </w:r>
      <w:r>
        <w:rPr>
          <w:spacing w:val="14"/>
        </w:rPr>
        <w:t> </w:t>
      </w:r>
      <w:r>
        <w:rPr/>
        <w:t>the</w:t>
      </w:r>
      <w:r>
        <w:rPr>
          <w:spacing w:val="14"/>
        </w:rPr>
        <w:t> </w:t>
      </w:r>
      <w:r>
        <w:rPr/>
        <w:t>Nervous</w:t>
      </w:r>
      <w:r>
        <w:rPr>
          <w:spacing w:val="11"/>
        </w:rPr>
        <w:t> </w:t>
      </w:r>
      <w:r>
        <w:rPr/>
        <w:t>system</w:t>
      </w:r>
      <w:r>
        <w:rPr>
          <w:spacing w:val="12"/>
        </w:rPr>
        <w:t> </w:t>
      </w:r>
      <w:r>
        <w:rPr/>
        <w:t>susceptible</w:t>
      </w:r>
      <w:r>
        <w:rPr>
          <w:spacing w:val="14"/>
        </w:rPr>
        <w:t> </w:t>
      </w:r>
      <w:r>
        <w:rPr/>
        <w:t>to</w:t>
      </w:r>
      <w:r>
        <w:rPr>
          <w:spacing w:val="14"/>
        </w:rPr>
        <w:t> </w:t>
      </w:r>
      <w:r>
        <w:rPr/>
        <w:t>toxic</w:t>
      </w:r>
      <w:r>
        <w:rPr>
          <w:spacing w:val="8"/>
        </w:rPr>
        <w:t> </w:t>
      </w:r>
      <w:bookmarkEnd w:id="19"/>
      <w:r>
        <w:rPr>
          <w:spacing w:val="-2"/>
        </w:rPr>
        <w:t>injuries</w:t>
      </w:r>
    </w:p>
    <w:p>
      <w:pPr>
        <w:pStyle w:val="BodyText"/>
        <w:spacing w:before="8"/>
        <w:rPr>
          <w:b/>
        </w:rPr>
      </w:pPr>
    </w:p>
    <w:p>
      <w:pPr>
        <w:pStyle w:val="BodyText"/>
        <w:spacing w:line="491" w:lineRule="auto"/>
        <w:ind w:left="665" w:right="895"/>
        <w:jc w:val="both"/>
      </w:pPr>
      <w:r>
        <w:rPr/>
        <w:t>There</w:t>
      </w:r>
      <w:r>
        <w:rPr>
          <w:spacing w:val="40"/>
        </w:rPr>
        <w:t> </w:t>
      </w:r>
      <w:r>
        <w:rPr/>
        <w:t>are</w:t>
      </w:r>
      <w:r>
        <w:rPr>
          <w:spacing w:val="40"/>
        </w:rPr>
        <w:t> </w:t>
      </w:r>
      <w:r>
        <w:rPr/>
        <w:t>various</w:t>
      </w:r>
      <w:r>
        <w:rPr>
          <w:spacing w:val="40"/>
        </w:rPr>
        <w:t> </w:t>
      </w:r>
      <w:r>
        <w:rPr/>
        <w:t>factors</w:t>
      </w:r>
      <w:r>
        <w:rPr>
          <w:spacing w:val="40"/>
        </w:rPr>
        <w:t> </w:t>
      </w:r>
      <w:r>
        <w:rPr/>
        <w:t>rendering</w:t>
      </w:r>
      <w:r>
        <w:rPr>
          <w:spacing w:val="40"/>
        </w:rPr>
        <w:t> </w:t>
      </w:r>
      <w:r>
        <w:rPr/>
        <w:t>brain</w:t>
      </w:r>
      <w:r>
        <w:rPr>
          <w:spacing w:val="40"/>
        </w:rPr>
        <w:t> </w:t>
      </w:r>
      <w:r>
        <w:rPr/>
        <w:t>most</w:t>
      </w:r>
      <w:r>
        <w:rPr>
          <w:spacing w:val="40"/>
        </w:rPr>
        <w:t> </w:t>
      </w:r>
      <w:r>
        <w:rPr/>
        <w:t>susceptible</w:t>
      </w:r>
      <w:r>
        <w:rPr>
          <w:spacing w:val="40"/>
        </w:rPr>
        <w:t> </w:t>
      </w:r>
      <w:r>
        <w:rPr/>
        <w:t>to</w:t>
      </w:r>
      <w:r>
        <w:rPr>
          <w:spacing w:val="40"/>
        </w:rPr>
        <w:t> </w:t>
      </w:r>
      <w:r>
        <w:rPr/>
        <w:t>injury,</w:t>
      </w:r>
      <w:r>
        <w:rPr>
          <w:spacing w:val="40"/>
        </w:rPr>
        <w:t> </w:t>
      </w:r>
      <w:r>
        <w:rPr/>
        <w:t>despite</w:t>
      </w:r>
      <w:r>
        <w:rPr>
          <w:spacing w:val="40"/>
        </w:rPr>
        <w:t> </w:t>
      </w:r>
      <w:r>
        <w:rPr/>
        <w:t>the presence of blood-brain barrier. The neurones and their processes have high surface area which increases their exposure risk. High lipid content of their</w:t>
      </w:r>
      <w:r>
        <w:rPr>
          <w:spacing w:val="22"/>
        </w:rPr>
        <w:t> </w:t>
      </w:r>
      <w:r>
        <w:rPr/>
        <w:t>neuronal structures result</w:t>
      </w:r>
      <w:r>
        <w:rPr>
          <w:spacing w:val="40"/>
        </w:rPr>
        <w:t> </w:t>
      </w:r>
      <w:r>
        <w:rPr/>
        <w:t>in</w:t>
      </w:r>
      <w:r>
        <w:rPr>
          <w:spacing w:val="40"/>
        </w:rPr>
        <w:t> </w:t>
      </w:r>
      <w:r>
        <w:rPr/>
        <w:t>accumulation</w:t>
      </w:r>
      <w:r>
        <w:rPr>
          <w:spacing w:val="40"/>
        </w:rPr>
        <w:t> </w:t>
      </w:r>
      <w:r>
        <w:rPr/>
        <w:t>and</w:t>
      </w:r>
      <w:r>
        <w:rPr>
          <w:spacing w:val="40"/>
        </w:rPr>
        <w:t> </w:t>
      </w:r>
      <w:r>
        <w:rPr/>
        <w:t>retention</w:t>
      </w:r>
      <w:r>
        <w:rPr>
          <w:spacing w:val="40"/>
        </w:rPr>
        <w:t> </w:t>
      </w:r>
      <w:r>
        <w:rPr/>
        <w:t>of</w:t>
      </w:r>
      <w:r>
        <w:rPr>
          <w:spacing w:val="40"/>
        </w:rPr>
        <w:t> </w:t>
      </w:r>
      <w:r>
        <w:rPr/>
        <w:t>liphophilic</w:t>
      </w:r>
      <w:r>
        <w:rPr>
          <w:spacing w:val="40"/>
        </w:rPr>
        <w:t> </w:t>
      </w:r>
      <w:r>
        <w:rPr/>
        <w:t>substances</w:t>
      </w:r>
      <w:r>
        <w:rPr>
          <w:spacing w:val="40"/>
        </w:rPr>
        <w:t> </w:t>
      </w:r>
      <w:r>
        <w:rPr/>
        <w:t>and</w:t>
      </w:r>
      <w:r>
        <w:rPr>
          <w:spacing w:val="40"/>
        </w:rPr>
        <w:t> </w:t>
      </w:r>
      <w:r>
        <w:rPr/>
        <w:t>lipid</w:t>
      </w:r>
      <w:r>
        <w:rPr>
          <w:spacing w:val="40"/>
        </w:rPr>
        <w:t> </w:t>
      </w:r>
      <w:r>
        <w:rPr/>
        <w:t>soluble</w:t>
      </w:r>
      <w:r>
        <w:rPr>
          <w:spacing w:val="40"/>
        </w:rPr>
        <w:t> </w:t>
      </w:r>
      <w:r>
        <w:rPr/>
        <w:t>molecules easily cross. Neurones generally have high metabolic demands and are strongly affected</w:t>
      </w:r>
      <w:r>
        <w:rPr>
          <w:spacing w:val="40"/>
        </w:rPr>
        <w:t> </w:t>
      </w:r>
      <w:r>
        <w:rPr/>
        <w:t>by</w:t>
      </w:r>
      <w:r>
        <w:rPr>
          <w:spacing w:val="-6"/>
        </w:rPr>
        <w:t> </w:t>
      </w:r>
      <w:r>
        <w:rPr/>
        <w:t>energy or nutrient depletion. High blood flow in the central nervous system increases effective exposure to circulating toxins. Some chemical toxins can interfere with normal neurotransmission by mimicking structures of endogenous molecules. Following toxic injury, recovery of normal, complex interneuronal and intraneuronal connection is typically</w:t>
      </w:r>
      <w:r>
        <w:rPr>
          <w:spacing w:val="40"/>
        </w:rPr>
        <w:t> </w:t>
      </w:r>
      <w:r>
        <w:rPr/>
        <w:t>imperfect.</w:t>
      </w:r>
      <w:r>
        <w:rPr>
          <w:spacing w:val="40"/>
        </w:rPr>
        <w:t> </w:t>
      </w:r>
      <w:r>
        <w:rPr/>
        <w:t>Neurones</w:t>
      </w:r>
      <w:r>
        <w:rPr>
          <w:spacing w:val="40"/>
        </w:rPr>
        <w:t> </w:t>
      </w:r>
      <w:r>
        <w:rPr/>
        <w:t>are</w:t>
      </w:r>
      <w:r>
        <w:rPr>
          <w:spacing w:val="40"/>
        </w:rPr>
        <w:t> </w:t>
      </w:r>
      <w:r>
        <w:rPr/>
        <w:t>typically</w:t>
      </w:r>
      <w:r>
        <w:rPr>
          <w:spacing w:val="40"/>
        </w:rPr>
        <w:t> </w:t>
      </w:r>
      <w:r>
        <w:rPr/>
        <w:t>post-mitotic</w:t>
      </w:r>
      <w:r>
        <w:rPr>
          <w:spacing w:val="40"/>
        </w:rPr>
        <w:t> </w:t>
      </w:r>
      <w:r>
        <w:rPr/>
        <w:t>and</w:t>
      </w:r>
      <w:r>
        <w:rPr>
          <w:spacing w:val="40"/>
        </w:rPr>
        <w:t> </w:t>
      </w:r>
      <w:r>
        <w:rPr/>
        <w:t>do</w:t>
      </w:r>
      <w:r>
        <w:rPr>
          <w:spacing w:val="40"/>
        </w:rPr>
        <w:t> </w:t>
      </w:r>
      <w:r>
        <w:rPr/>
        <w:t>not</w:t>
      </w:r>
      <w:r>
        <w:rPr>
          <w:spacing w:val="40"/>
        </w:rPr>
        <w:t> </w:t>
      </w:r>
      <w:r>
        <w:rPr/>
        <w:t>divide</w:t>
      </w:r>
      <w:r>
        <w:rPr>
          <w:spacing w:val="40"/>
        </w:rPr>
        <w:t> </w:t>
      </w:r>
      <w:r>
        <w:rPr/>
        <w:t>(Anger, </w:t>
      </w:r>
      <w:r>
        <w:rPr>
          <w:spacing w:val="-2"/>
        </w:rPr>
        <w:t>1986).</w:t>
      </w:r>
    </w:p>
    <w:p>
      <w:pPr>
        <w:spacing w:after="0" w:line="491" w:lineRule="auto"/>
        <w:jc w:val="both"/>
        <w:sectPr>
          <w:pgSz w:w="12240" w:h="15840"/>
          <w:pgMar w:header="0" w:footer="916" w:top="1260" w:bottom="1100" w:left="1720" w:right="960"/>
        </w:sectPr>
      </w:pPr>
    </w:p>
    <w:p>
      <w:pPr>
        <w:pStyle w:val="ListParagraph"/>
        <w:numPr>
          <w:ilvl w:val="1"/>
          <w:numId w:val="16"/>
        </w:numPr>
        <w:tabs>
          <w:tab w:pos="974" w:val="left" w:leader="none"/>
        </w:tabs>
        <w:spacing w:line="240" w:lineRule="auto" w:before="79" w:after="0"/>
        <w:ind w:left="974" w:right="0" w:hanging="309"/>
        <w:jc w:val="both"/>
        <w:rPr>
          <w:b/>
          <w:sz w:val="20"/>
        </w:rPr>
      </w:pPr>
      <w:r>
        <w:rPr>
          <w:b/>
          <w:sz w:val="20"/>
        </w:rPr>
        <w:t>MECHANISMS</w:t>
      </w:r>
      <w:r>
        <w:rPr>
          <w:b/>
          <w:spacing w:val="25"/>
          <w:sz w:val="20"/>
        </w:rPr>
        <w:t> </w:t>
      </w:r>
      <w:r>
        <w:rPr>
          <w:b/>
          <w:sz w:val="20"/>
        </w:rPr>
        <w:t>OF</w:t>
      </w:r>
      <w:r>
        <w:rPr>
          <w:b/>
          <w:spacing w:val="30"/>
          <w:sz w:val="20"/>
        </w:rPr>
        <w:t> </w:t>
      </w:r>
      <w:r>
        <w:rPr>
          <w:b/>
          <w:sz w:val="20"/>
        </w:rPr>
        <w:t>CARBON</w:t>
      </w:r>
      <w:r>
        <w:rPr>
          <w:b/>
          <w:spacing w:val="18"/>
          <w:sz w:val="20"/>
        </w:rPr>
        <w:t> </w:t>
      </w:r>
      <w:r>
        <w:rPr>
          <w:b/>
          <w:sz w:val="20"/>
        </w:rPr>
        <w:t>MONOXIDE</w:t>
      </w:r>
      <w:r>
        <w:rPr>
          <w:b/>
          <w:spacing w:val="27"/>
          <w:sz w:val="20"/>
        </w:rPr>
        <w:t> </w:t>
      </w:r>
      <w:r>
        <w:rPr>
          <w:b/>
          <w:spacing w:val="-2"/>
          <w:sz w:val="20"/>
        </w:rPr>
        <w:t>TOXICITY</w:t>
      </w:r>
    </w:p>
    <w:p>
      <w:pPr>
        <w:pStyle w:val="BodyText"/>
        <w:rPr>
          <w:b/>
          <w:sz w:val="20"/>
        </w:rPr>
      </w:pPr>
    </w:p>
    <w:p>
      <w:pPr>
        <w:pStyle w:val="BodyText"/>
        <w:rPr>
          <w:b/>
          <w:sz w:val="20"/>
        </w:rPr>
      </w:pPr>
    </w:p>
    <w:p>
      <w:pPr>
        <w:pStyle w:val="BodyText"/>
        <w:spacing w:before="74"/>
        <w:rPr>
          <w:b/>
          <w:sz w:val="20"/>
        </w:rPr>
      </w:pPr>
    </w:p>
    <w:p>
      <w:pPr>
        <w:pStyle w:val="Heading3"/>
        <w:numPr>
          <w:ilvl w:val="2"/>
          <w:numId w:val="17"/>
        </w:numPr>
        <w:tabs>
          <w:tab w:pos="1232" w:val="left" w:leader="none"/>
        </w:tabs>
        <w:spacing w:line="240" w:lineRule="auto" w:before="1" w:after="0"/>
        <w:ind w:left="1232" w:right="0" w:hanging="567"/>
        <w:jc w:val="both"/>
      </w:pPr>
      <w:bookmarkStart w:name="_TOC_250037" w:id="20"/>
      <w:r>
        <w:rPr/>
        <w:t>Alterations</w:t>
      </w:r>
      <w:r>
        <w:rPr>
          <w:spacing w:val="15"/>
        </w:rPr>
        <w:t> </w:t>
      </w:r>
      <w:r>
        <w:rPr/>
        <w:t>in</w:t>
      </w:r>
      <w:r>
        <w:rPr>
          <w:spacing w:val="5"/>
        </w:rPr>
        <w:t> </w:t>
      </w:r>
      <w:r>
        <w:rPr/>
        <w:t>Blood</w:t>
      </w:r>
      <w:r>
        <w:rPr>
          <w:spacing w:val="11"/>
        </w:rPr>
        <w:t> </w:t>
      </w:r>
      <w:bookmarkEnd w:id="20"/>
      <w:r>
        <w:rPr>
          <w:spacing w:val="-4"/>
        </w:rPr>
        <w:t>Flow</w:t>
      </w:r>
    </w:p>
    <w:p>
      <w:pPr>
        <w:pStyle w:val="BodyText"/>
        <w:spacing w:before="7"/>
        <w:rPr>
          <w:b/>
        </w:rPr>
      </w:pPr>
    </w:p>
    <w:p>
      <w:pPr>
        <w:pStyle w:val="BodyText"/>
        <w:spacing w:line="491" w:lineRule="auto"/>
        <w:ind w:left="665" w:right="896"/>
        <w:jc w:val="both"/>
      </w:pPr>
      <w:r>
        <w:rPr/>
        <w:t>Exposure to</w:t>
      </w:r>
      <w:r>
        <w:rPr>
          <w:spacing w:val="37"/>
        </w:rPr>
        <w:t> </w:t>
      </w:r>
      <w:r>
        <w:rPr/>
        <w:t>high concentration (500</w:t>
      </w:r>
      <w:r>
        <w:rPr>
          <w:spacing w:val="33"/>
        </w:rPr>
        <w:t> </w:t>
      </w:r>
      <w:r>
        <w:rPr/>
        <w:t>- 2,000 ppm) of CO causes vasodilation, which is due</w:t>
      </w:r>
      <w:r>
        <w:rPr>
          <w:spacing w:val="40"/>
        </w:rPr>
        <w:t> </w:t>
      </w:r>
      <w:r>
        <w:rPr/>
        <w:t>to</w:t>
      </w:r>
      <w:r>
        <w:rPr>
          <w:spacing w:val="40"/>
        </w:rPr>
        <w:t> </w:t>
      </w:r>
      <w:r>
        <w:rPr/>
        <w:t>impairment</w:t>
      </w:r>
      <w:r>
        <w:rPr>
          <w:spacing w:val="40"/>
        </w:rPr>
        <w:t> </w:t>
      </w:r>
      <w:r>
        <w:rPr/>
        <w:t>of O</w:t>
      </w:r>
      <w:r>
        <w:rPr>
          <w:vertAlign w:val="subscript"/>
        </w:rPr>
        <w:t>2</w:t>
      </w:r>
      <w:r>
        <w:rPr>
          <w:spacing w:val="40"/>
          <w:vertAlign w:val="baseline"/>
        </w:rPr>
        <w:t> </w:t>
      </w:r>
      <w:r>
        <w:rPr>
          <w:vertAlign w:val="baseline"/>
        </w:rPr>
        <w:t>delivery (MacMillan,</w:t>
      </w:r>
      <w:r>
        <w:rPr>
          <w:spacing w:val="40"/>
          <w:vertAlign w:val="baseline"/>
        </w:rPr>
        <w:t> </w:t>
      </w:r>
      <w:r>
        <w:rPr>
          <w:vertAlign w:val="baseline"/>
        </w:rPr>
        <w:t>1975;</w:t>
      </w:r>
      <w:r>
        <w:rPr>
          <w:spacing w:val="40"/>
          <w:vertAlign w:val="baseline"/>
        </w:rPr>
        <w:t> </w:t>
      </w:r>
      <w:r>
        <w:rPr>
          <w:vertAlign w:val="baseline"/>
        </w:rPr>
        <w:t>Kanten </w:t>
      </w:r>
      <w:r>
        <w:rPr>
          <w:i/>
          <w:vertAlign w:val="baseline"/>
        </w:rPr>
        <w:t>et</w:t>
      </w:r>
      <w:r>
        <w:rPr>
          <w:i/>
          <w:spacing w:val="40"/>
          <w:vertAlign w:val="baseline"/>
        </w:rPr>
        <w:t> </w:t>
      </w:r>
      <w:r>
        <w:rPr>
          <w:i/>
          <w:vertAlign w:val="baseline"/>
        </w:rPr>
        <w:t>al.</w:t>
      </w:r>
      <w:r>
        <w:rPr>
          <w:vertAlign w:val="baseline"/>
        </w:rPr>
        <w:t>,</w:t>
      </w:r>
      <w:r>
        <w:rPr>
          <w:spacing w:val="40"/>
          <w:vertAlign w:val="baseline"/>
        </w:rPr>
        <w:t> </w:t>
      </w:r>
      <w:r>
        <w:rPr>
          <w:vertAlign w:val="baseline"/>
        </w:rPr>
        <w:t>1983).</w:t>
      </w:r>
      <w:r>
        <w:rPr>
          <w:spacing w:val="40"/>
          <w:vertAlign w:val="baseline"/>
        </w:rPr>
        <w:t> </w:t>
      </w:r>
      <w:r>
        <w:rPr>
          <w:vertAlign w:val="baseline"/>
        </w:rPr>
        <w:t>However, some</w:t>
      </w:r>
      <w:r>
        <w:rPr>
          <w:spacing w:val="40"/>
          <w:vertAlign w:val="baseline"/>
        </w:rPr>
        <w:t> </w:t>
      </w:r>
      <w:r>
        <w:rPr>
          <w:vertAlign w:val="baseline"/>
        </w:rPr>
        <w:t>of</w:t>
      </w:r>
      <w:r>
        <w:rPr>
          <w:spacing w:val="40"/>
          <w:vertAlign w:val="baseline"/>
        </w:rPr>
        <w:t> </w:t>
      </w:r>
      <w:r>
        <w:rPr>
          <w:vertAlign w:val="baseline"/>
        </w:rPr>
        <w:t>the</w:t>
      </w:r>
      <w:r>
        <w:rPr>
          <w:spacing w:val="40"/>
          <w:vertAlign w:val="baseline"/>
        </w:rPr>
        <w:t> </w:t>
      </w:r>
      <w:r>
        <w:rPr>
          <w:vertAlign w:val="baseline"/>
        </w:rPr>
        <w:t>observed</w:t>
      </w:r>
      <w:r>
        <w:rPr>
          <w:spacing w:val="40"/>
          <w:vertAlign w:val="baseline"/>
        </w:rPr>
        <w:t> </w:t>
      </w:r>
      <w:r>
        <w:rPr>
          <w:vertAlign w:val="baseline"/>
        </w:rPr>
        <w:t>increases</w:t>
      </w:r>
      <w:r>
        <w:rPr>
          <w:spacing w:val="40"/>
          <w:vertAlign w:val="baseline"/>
        </w:rPr>
        <w:t> </w:t>
      </w:r>
      <w:r>
        <w:rPr>
          <w:vertAlign w:val="baseline"/>
        </w:rPr>
        <w:t>in</w:t>
      </w:r>
      <w:r>
        <w:rPr>
          <w:spacing w:val="40"/>
          <w:vertAlign w:val="baseline"/>
        </w:rPr>
        <w:t> </w:t>
      </w:r>
      <w:r>
        <w:rPr>
          <w:vertAlign w:val="baseline"/>
        </w:rPr>
        <w:t>cerebral</w:t>
      </w:r>
      <w:r>
        <w:rPr>
          <w:spacing w:val="40"/>
          <w:vertAlign w:val="baseline"/>
        </w:rPr>
        <w:t> </w:t>
      </w:r>
      <w:r>
        <w:rPr>
          <w:vertAlign w:val="baseline"/>
        </w:rPr>
        <w:t>blood</w:t>
      </w:r>
      <w:r>
        <w:rPr>
          <w:spacing w:val="40"/>
          <w:vertAlign w:val="baseline"/>
        </w:rPr>
        <w:t> </w:t>
      </w:r>
      <w:r>
        <w:rPr>
          <w:vertAlign w:val="baseline"/>
        </w:rPr>
        <w:t>flow</w:t>
      </w:r>
      <w:r>
        <w:rPr>
          <w:spacing w:val="40"/>
          <w:vertAlign w:val="baseline"/>
        </w:rPr>
        <w:t> </w:t>
      </w:r>
      <w:r>
        <w:rPr>
          <w:vertAlign w:val="baseline"/>
        </w:rPr>
        <w:t>were</w:t>
      </w:r>
      <w:r>
        <w:rPr>
          <w:spacing w:val="40"/>
          <w:vertAlign w:val="baseline"/>
        </w:rPr>
        <w:t> </w:t>
      </w:r>
      <w:r>
        <w:rPr>
          <w:vertAlign w:val="baseline"/>
        </w:rPr>
        <w:t>independent</w:t>
      </w:r>
      <w:r>
        <w:rPr>
          <w:spacing w:val="40"/>
          <w:vertAlign w:val="baseline"/>
        </w:rPr>
        <w:t> </w:t>
      </w:r>
      <w:r>
        <w:rPr>
          <w:vertAlign w:val="baseline"/>
        </w:rPr>
        <w:t>of perturbations in O</w:t>
      </w:r>
      <w:r>
        <w:rPr>
          <w:vertAlign w:val="subscript"/>
        </w:rPr>
        <w:t>2</w:t>
      </w:r>
      <w:r>
        <w:rPr>
          <w:vertAlign w:val="baseline"/>
        </w:rPr>
        <w:t> supply (Koehler </w:t>
      </w:r>
      <w:r>
        <w:rPr>
          <w:i/>
          <w:vertAlign w:val="baseline"/>
        </w:rPr>
        <w:t>et al</w:t>
      </w:r>
      <w:r>
        <w:rPr>
          <w:vertAlign w:val="baseline"/>
        </w:rPr>
        <w:t>., 1982). The rate of synthesis of CO varies</w:t>
      </w:r>
      <w:r>
        <w:rPr>
          <w:spacing w:val="40"/>
          <w:vertAlign w:val="baseline"/>
        </w:rPr>
        <w:t> </w:t>
      </w:r>
      <w:r>
        <w:rPr>
          <w:vertAlign w:val="baseline"/>
        </w:rPr>
        <w:t>widely for nerve cells. Cerebellar granule cells generate approximately 3 Pmol/mg protein/min, olfactory nerve cells produce 4.7 pmol/mg protein/min., and rat cerebellar homogenates</w:t>
      </w:r>
      <w:r>
        <w:rPr>
          <w:spacing w:val="34"/>
          <w:vertAlign w:val="baseline"/>
        </w:rPr>
        <w:t> </w:t>
      </w:r>
      <w:r>
        <w:rPr>
          <w:vertAlign w:val="baseline"/>
        </w:rPr>
        <w:t>can</w:t>
      </w:r>
      <w:r>
        <w:rPr>
          <w:spacing w:val="39"/>
          <w:vertAlign w:val="baseline"/>
        </w:rPr>
        <w:t> </w:t>
      </w:r>
      <w:r>
        <w:rPr>
          <w:vertAlign w:val="baseline"/>
        </w:rPr>
        <w:t>generate</w:t>
      </w:r>
      <w:r>
        <w:rPr>
          <w:spacing w:val="40"/>
          <w:vertAlign w:val="baseline"/>
        </w:rPr>
        <w:t> </w:t>
      </w:r>
      <w:r>
        <w:rPr>
          <w:vertAlign w:val="baseline"/>
        </w:rPr>
        <w:t>as</w:t>
      </w:r>
      <w:r>
        <w:rPr>
          <w:spacing w:val="40"/>
          <w:vertAlign w:val="baseline"/>
        </w:rPr>
        <w:t> </w:t>
      </w:r>
      <w:r>
        <w:rPr>
          <w:vertAlign w:val="baseline"/>
        </w:rPr>
        <w:t>much</w:t>
      </w:r>
      <w:r>
        <w:rPr>
          <w:spacing w:val="33"/>
          <w:vertAlign w:val="baseline"/>
        </w:rPr>
        <w:t> </w:t>
      </w:r>
      <w:r>
        <w:rPr>
          <w:vertAlign w:val="baseline"/>
        </w:rPr>
        <w:t>as</w:t>
      </w:r>
      <w:r>
        <w:rPr>
          <w:spacing w:val="40"/>
          <w:vertAlign w:val="baseline"/>
        </w:rPr>
        <w:t> </w:t>
      </w:r>
      <w:r>
        <w:rPr>
          <w:vertAlign w:val="baseline"/>
        </w:rPr>
        <w:t>56.6</w:t>
      </w:r>
      <w:r>
        <w:rPr>
          <w:spacing w:val="39"/>
          <w:vertAlign w:val="baseline"/>
        </w:rPr>
        <w:t> </w:t>
      </w:r>
      <w:r>
        <w:rPr>
          <w:vertAlign w:val="baseline"/>
        </w:rPr>
        <w:t>pmol/mg</w:t>
      </w:r>
      <w:r>
        <w:rPr>
          <w:spacing w:val="39"/>
          <w:vertAlign w:val="baseline"/>
        </w:rPr>
        <w:t> </w:t>
      </w:r>
      <w:r>
        <w:rPr>
          <w:vertAlign w:val="baseline"/>
        </w:rPr>
        <w:t>protein/min</w:t>
      </w:r>
      <w:r>
        <w:rPr>
          <w:spacing w:val="39"/>
          <w:vertAlign w:val="baseline"/>
        </w:rPr>
        <w:t> </w:t>
      </w:r>
      <w:r>
        <w:rPr>
          <w:vertAlign w:val="baseline"/>
        </w:rPr>
        <w:t>(Maines,</w:t>
      </w:r>
      <w:r>
        <w:rPr>
          <w:spacing w:val="40"/>
          <w:vertAlign w:val="baseline"/>
        </w:rPr>
        <w:t> </w:t>
      </w:r>
      <w:r>
        <w:rPr>
          <w:vertAlign w:val="baseline"/>
        </w:rPr>
        <w:t>1993;</w:t>
      </w:r>
      <w:r>
        <w:rPr>
          <w:spacing w:val="40"/>
          <w:vertAlign w:val="baseline"/>
        </w:rPr>
        <w:t> </w:t>
      </w:r>
      <w:r>
        <w:rPr>
          <w:vertAlign w:val="baseline"/>
        </w:rPr>
        <w:t>Ingi and Ronnett, 1995; Nathanson </w:t>
      </w:r>
      <w:r>
        <w:rPr>
          <w:i/>
          <w:vertAlign w:val="baseline"/>
        </w:rPr>
        <w:t>et al</w:t>
      </w:r>
      <w:r>
        <w:rPr>
          <w:vertAlign w:val="baseline"/>
        </w:rPr>
        <w:t>., 1995). In a situation where cellular oxidative metabolism was not impaired by CO, elevations in cerebral blood flow appeared to be mediated by nitric oxide free radical (•NO) (Meilin </w:t>
      </w:r>
      <w:r>
        <w:rPr>
          <w:i/>
          <w:vertAlign w:val="baseline"/>
        </w:rPr>
        <w:t>et al.</w:t>
      </w:r>
      <w:r>
        <w:rPr>
          <w:vertAlign w:val="baseline"/>
        </w:rPr>
        <w:t>, 1996). Although cerebral vasodilation</w:t>
      </w:r>
      <w:r>
        <w:rPr>
          <w:spacing w:val="40"/>
          <w:vertAlign w:val="baseline"/>
        </w:rPr>
        <w:t> </w:t>
      </w:r>
      <w:r>
        <w:rPr>
          <w:vertAlign w:val="baseline"/>
        </w:rPr>
        <w:t>mediated</w:t>
      </w:r>
      <w:r>
        <w:rPr>
          <w:spacing w:val="40"/>
          <w:vertAlign w:val="baseline"/>
        </w:rPr>
        <w:t> </w:t>
      </w:r>
      <w:r>
        <w:rPr>
          <w:vertAlign w:val="baseline"/>
        </w:rPr>
        <w:t>by •NO</w:t>
      </w:r>
      <w:r>
        <w:rPr>
          <w:spacing w:val="40"/>
          <w:vertAlign w:val="baseline"/>
        </w:rPr>
        <w:t> </w:t>
      </w:r>
      <w:r>
        <w:rPr>
          <w:vertAlign w:val="baseline"/>
        </w:rPr>
        <w:t>was</w:t>
      </w:r>
      <w:r>
        <w:rPr>
          <w:spacing w:val="40"/>
          <w:vertAlign w:val="baseline"/>
        </w:rPr>
        <w:t> </w:t>
      </w:r>
      <w:r>
        <w:rPr>
          <w:vertAlign w:val="baseline"/>
        </w:rPr>
        <w:t>reported</w:t>
      </w:r>
      <w:r>
        <w:rPr>
          <w:spacing w:val="40"/>
          <w:vertAlign w:val="baseline"/>
        </w:rPr>
        <w:t> </w:t>
      </w:r>
      <w:r>
        <w:rPr>
          <w:vertAlign w:val="baseline"/>
        </w:rPr>
        <w:t>with</w:t>
      </w:r>
      <w:r>
        <w:rPr>
          <w:spacing w:val="40"/>
          <w:vertAlign w:val="baseline"/>
        </w:rPr>
        <w:t> </w:t>
      </w:r>
      <w:r>
        <w:rPr>
          <w:vertAlign w:val="baseline"/>
        </w:rPr>
        <w:t>exposure</w:t>
      </w:r>
      <w:r>
        <w:rPr>
          <w:spacing w:val="40"/>
          <w:vertAlign w:val="baseline"/>
        </w:rPr>
        <w:t> </w:t>
      </w:r>
      <w:r>
        <w:rPr>
          <w:vertAlign w:val="baseline"/>
        </w:rPr>
        <w:t>to</w:t>
      </w:r>
      <w:r>
        <w:rPr>
          <w:spacing w:val="40"/>
          <w:vertAlign w:val="baseline"/>
        </w:rPr>
        <w:t> </w:t>
      </w:r>
      <w:r>
        <w:rPr>
          <w:vertAlign w:val="baseline"/>
        </w:rPr>
        <w:t>1,000</w:t>
      </w:r>
      <w:r>
        <w:rPr>
          <w:spacing w:val="40"/>
          <w:vertAlign w:val="baseline"/>
        </w:rPr>
        <w:t> </w:t>
      </w:r>
      <w:r>
        <w:rPr>
          <w:vertAlign w:val="baseline"/>
        </w:rPr>
        <w:t>ppm</w:t>
      </w:r>
      <w:r>
        <w:rPr>
          <w:spacing w:val="35"/>
          <w:vertAlign w:val="baseline"/>
        </w:rPr>
        <w:t> </w:t>
      </w:r>
      <w:r>
        <w:rPr>
          <w:vertAlign w:val="baseline"/>
        </w:rPr>
        <w:t>of</w:t>
      </w:r>
      <w:r>
        <w:rPr>
          <w:spacing w:val="40"/>
          <w:vertAlign w:val="baseline"/>
        </w:rPr>
        <w:t> </w:t>
      </w:r>
      <w:r>
        <w:rPr>
          <w:vertAlign w:val="baseline"/>
        </w:rPr>
        <w:t>CO,</w:t>
      </w:r>
      <w:r>
        <w:rPr>
          <w:spacing w:val="40"/>
          <w:vertAlign w:val="baseline"/>
        </w:rPr>
        <w:t> </w:t>
      </w:r>
      <w:r>
        <w:rPr>
          <w:vertAlign w:val="baseline"/>
        </w:rPr>
        <w:t>that level of</w:t>
      </w:r>
      <w:r>
        <w:rPr>
          <w:spacing w:val="40"/>
          <w:vertAlign w:val="baseline"/>
        </w:rPr>
        <w:t> </w:t>
      </w:r>
      <w:r>
        <w:rPr>
          <w:vertAlign w:val="baseline"/>
        </w:rPr>
        <w:t>exposure did</w:t>
      </w:r>
      <w:r>
        <w:rPr>
          <w:spacing w:val="40"/>
          <w:vertAlign w:val="baseline"/>
        </w:rPr>
        <w:t> </w:t>
      </w:r>
      <w:r>
        <w:rPr>
          <w:vertAlign w:val="baseline"/>
        </w:rPr>
        <w:t>not</w:t>
      </w:r>
      <w:r>
        <w:rPr>
          <w:spacing w:val="40"/>
          <w:vertAlign w:val="baseline"/>
        </w:rPr>
        <w:t> </w:t>
      </w:r>
      <w:r>
        <w:rPr>
          <w:vertAlign w:val="baseline"/>
        </w:rPr>
        <w:t>alter</w:t>
      </w:r>
      <w:r>
        <w:rPr>
          <w:spacing w:val="40"/>
          <w:vertAlign w:val="baseline"/>
        </w:rPr>
        <w:t> </w:t>
      </w:r>
      <w:r>
        <w:rPr>
          <w:vertAlign w:val="baseline"/>
        </w:rPr>
        <w:t>pulmonary vasoconstriction</w:t>
      </w:r>
      <w:r>
        <w:rPr>
          <w:spacing w:val="40"/>
          <w:vertAlign w:val="baseline"/>
        </w:rPr>
        <w:t> </w:t>
      </w:r>
      <w:r>
        <w:rPr>
          <w:vertAlign w:val="baseline"/>
        </w:rPr>
        <w:t>in</w:t>
      </w:r>
      <w:r>
        <w:rPr>
          <w:spacing w:val="40"/>
          <w:vertAlign w:val="baseline"/>
        </w:rPr>
        <w:t> </w:t>
      </w:r>
      <w:r>
        <w:rPr>
          <w:vertAlign w:val="baseline"/>
        </w:rPr>
        <w:t>an</w:t>
      </w:r>
      <w:r>
        <w:rPr>
          <w:spacing w:val="40"/>
          <w:vertAlign w:val="baseline"/>
        </w:rPr>
        <w:t> </w:t>
      </w:r>
      <w:r>
        <w:rPr>
          <w:vertAlign w:val="baseline"/>
        </w:rPr>
        <w:t>isolated-perfused</w:t>
      </w:r>
      <w:r>
        <w:rPr>
          <w:spacing w:val="40"/>
          <w:vertAlign w:val="baseline"/>
        </w:rPr>
        <w:t> </w:t>
      </w:r>
      <w:r>
        <w:rPr>
          <w:vertAlign w:val="baseline"/>
        </w:rPr>
        <w:t>rat lung</w:t>
      </w:r>
      <w:r>
        <w:rPr>
          <w:spacing w:val="20"/>
          <w:vertAlign w:val="baseline"/>
        </w:rPr>
        <w:t> </w:t>
      </w:r>
      <w:r>
        <w:rPr>
          <w:vertAlign w:val="baseline"/>
        </w:rPr>
        <w:t>model</w:t>
      </w:r>
      <w:r>
        <w:rPr>
          <w:spacing w:val="23"/>
          <w:vertAlign w:val="baseline"/>
        </w:rPr>
        <w:t> </w:t>
      </w:r>
      <w:r>
        <w:rPr>
          <w:vertAlign w:val="baseline"/>
        </w:rPr>
        <w:t>(Cantrell,</w:t>
      </w:r>
      <w:r>
        <w:rPr>
          <w:spacing w:val="24"/>
          <w:vertAlign w:val="baseline"/>
        </w:rPr>
        <w:t> </w:t>
      </w:r>
      <w:r>
        <w:rPr>
          <w:vertAlign w:val="baseline"/>
        </w:rPr>
        <w:t>1996).</w:t>
      </w:r>
      <w:r>
        <w:rPr>
          <w:spacing w:val="24"/>
          <w:vertAlign w:val="baseline"/>
        </w:rPr>
        <w:t> </w:t>
      </w:r>
      <w:r>
        <w:rPr>
          <w:vertAlign w:val="baseline"/>
        </w:rPr>
        <w:t>In animals</w:t>
      </w:r>
      <w:r>
        <w:rPr>
          <w:spacing w:val="20"/>
          <w:vertAlign w:val="baseline"/>
        </w:rPr>
        <w:t> </w:t>
      </w:r>
      <w:r>
        <w:rPr>
          <w:vertAlign w:val="baseline"/>
        </w:rPr>
        <w:t>exposed</w:t>
      </w:r>
      <w:r>
        <w:rPr>
          <w:spacing w:val="25"/>
          <w:vertAlign w:val="baseline"/>
        </w:rPr>
        <w:t> </w:t>
      </w:r>
      <w:r>
        <w:rPr>
          <w:vertAlign w:val="baseline"/>
        </w:rPr>
        <w:t>to</w:t>
      </w:r>
      <w:r>
        <w:rPr>
          <w:spacing w:val="25"/>
          <w:vertAlign w:val="baseline"/>
        </w:rPr>
        <w:t> </w:t>
      </w:r>
      <w:r>
        <w:rPr>
          <w:vertAlign w:val="baseline"/>
        </w:rPr>
        <w:t>high</w:t>
      </w:r>
      <w:r>
        <w:rPr>
          <w:spacing w:val="20"/>
          <w:vertAlign w:val="baseline"/>
        </w:rPr>
        <w:t> </w:t>
      </w:r>
      <w:r>
        <w:rPr>
          <w:vertAlign w:val="baseline"/>
        </w:rPr>
        <w:t>CO</w:t>
      </w:r>
      <w:r>
        <w:rPr>
          <w:spacing w:val="23"/>
          <w:vertAlign w:val="baseline"/>
        </w:rPr>
        <w:t> </w:t>
      </w:r>
      <w:r>
        <w:rPr>
          <w:vertAlign w:val="baseline"/>
        </w:rPr>
        <w:t>concentrations</w:t>
      </w:r>
      <w:r>
        <w:rPr>
          <w:spacing w:val="20"/>
          <w:vertAlign w:val="baseline"/>
        </w:rPr>
        <w:t> </w:t>
      </w:r>
      <w:r>
        <w:rPr>
          <w:vertAlign w:val="baseline"/>
        </w:rPr>
        <w:t>(e.g.,</w:t>
      </w:r>
      <w:r>
        <w:rPr>
          <w:spacing w:val="29"/>
          <w:vertAlign w:val="baseline"/>
        </w:rPr>
        <w:t> </w:t>
      </w:r>
      <w:r>
        <w:rPr>
          <w:vertAlign w:val="baseline"/>
        </w:rPr>
        <w:t>3,000 to 10,000 ppm), diminished</w:t>
      </w:r>
      <w:r>
        <w:rPr>
          <w:spacing w:val="31"/>
          <w:vertAlign w:val="baseline"/>
        </w:rPr>
        <w:t> </w:t>
      </w:r>
      <w:r>
        <w:rPr>
          <w:vertAlign w:val="baseline"/>
        </w:rPr>
        <w:t>organ blood</w:t>
      </w:r>
      <w:r>
        <w:rPr>
          <w:spacing w:val="31"/>
          <w:vertAlign w:val="baseline"/>
        </w:rPr>
        <w:t> </w:t>
      </w:r>
      <w:r>
        <w:rPr>
          <w:vertAlign w:val="baseline"/>
        </w:rPr>
        <w:t>flow was observed (Ginsberg, 1974; Okeda </w:t>
      </w:r>
      <w:r>
        <w:rPr>
          <w:i/>
          <w:vertAlign w:val="baseline"/>
        </w:rPr>
        <w:t>et al</w:t>
      </w:r>
      <w:r>
        <w:rPr>
          <w:vertAlign w:val="baseline"/>
        </w:rPr>
        <w:t>., 1981; Song </w:t>
      </w:r>
      <w:r>
        <w:rPr>
          <w:i/>
          <w:vertAlign w:val="baseline"/>
        </w:rPr>
        <w:t>et al</w:t>
      </w:r>
      <w:r>
        <w:rPr>
          <w:vertAlign w:val="baseline"/>
        </w:rPr>
        <w:t>., 1983; Brown and</w:t>
      </w:r>
      <w:r>
        <w:rPr>
          <w:spacing w:val="39"/>
          <w:vertAlign w:val="baseline"/>
        </w:rPr>
        <w:t> </w:t>
      </w:r>
      <w:r>
        <w:rPr>
          <w:vertAlign w:val="baseline"/>
        </w:rPr>
        <w:t>Piantadosi, 1992; Thom, 1999).</w:t>
      </w:r>
    </w:p>
    <w:p>
      <w:pPr>
        <w:pStyle w:val="BodyText"/>
      </w:pPr>
    </w:p>
    <w:p>
      <w:pPr>
        <w:pStyle w:val="BodyText"/>
        <w:spacing w:before="24"/>
      </w:pPr>
    </w:p>
    <w:p>
      <w:pPr>
        <w:pStyle w:val="Heading3"/>
        <w:numPr>
          <w:ilvl w:val="2"/>
          <w:numId w:val="18"/>
        </w:numPr>
        <w:tabs>
          <w:tab w:pos="1343" w:val="left" w:leader="none"/>
        </w:tabs>
        <w:spacing w:line="491" w:lineRule="auto" w:before="0" w:after="0"/>
        <w:ind w:left="665" w:right="898" w:firstLine="0"/>
        <w:jc w:val="both"/>
      </w:pPr>
      <w:bookmarkStart w:name="_TOC_250036" w:id="21"/>
      <w:r>
        <w:rPr/>
        <w:t>Mitochondrial dysfunction and altered production of high-energy </w:t>
      </w:r>
      <w:bookmarkEnd w:id="21"/>
      <w:r>
        <w:rPr>
          <w:spacing w:val="-2"/>
        </w:rPr>
        <w:t>intermediates.</w:t>
      </w:r>
    </w:p>
    <w:p>
      <w:pPr>
        <w:pStyle w:val="BodyText"/>
        <w:spacing w:line="494" w:lineRule="auto"/>
        <w:ind w:left="665" w:right="900"/>
        <w:jc w:val="both"/>
      </w:pPr>
      <w:r>
        <w:rPr/>
        <w:t>Exposure to 2, 500 ppm and above of CO shows impaired high-energy phosphate</w:t>
      </w:r>
      <w:r>
        <w:rPr>
          <w:spacing w:val="40"/>
        </w:rPr>
        <w:t> </w:t>
      </w:r>
      <w:r>
        <w:rPr/>
        <w:t>synthesis and production of hydroxyl free radicals due to mitochondrial dysfunction (Piantadosi, 1996; Piantadosi </w:t>
      </w:r>
      <w:r>
        <w:rPr>
          <w:i/>
        </w:rPr>
        <w:t>et</w:t>
      </w:r>
      <w:r>
        <w:rPr>
          <w:i/>
          <w:spacing w:val="37"/>
        </w:rPr>
        <w:t> </w:t>
      </w:r>
      <w:r>
        <w:rPr>
          <w:i/>
        </w:rPr>
        <w:t>al.</w:t>
      </w:r>
      <w:r>
        <w:rPr/>
        <w:t>, 1997). Evidence of mitochondrial dysfunction was</w:t>
      </w:r>
      <w:r>
        <w:rPr>
          <w:spacing w:val="40"/>
        </w:rPr>
        <w:t> </w:t>
      </w:r>
      <w:r>
        <w:rPr/>
        <w:t>not</w:t>
      </w:r>
      <w:r>
        <w:rPr>
          <w:spacing w:val="29"/>
        </w:rPr>
        <w:t> </w:t>
      </w:r>
      <w:r>
        <w:rPr/>
        <w:t>observed</w:t>
      </w:r>
      <w:r>
        <w:rPr>
          <w:spacing w:val="40"/>
        </w:rPr>
        <w:t> </w:t>
      </w:r>
      <w:r>
        <w:rPr/>
        <w:t>at</w:t>
      </w:r>
      <w:r>
        <w:rPr>
          <w:spacing w:val="29"/>
        </w:rPr>
        <w:t> </w:t>
      </w:r>
      <w:r>
        <w:rPr/>
        <w:t>lower</w:t>
      </w:r>
      <w:r>
        <w:rPr>
          <w:spacing w:val="31"/>
        </w:rPr>
        <w:t> </w:t>
      </w:r>
      <w:r>
        <w:rPr/>
        <w:t>CO</w:t>
      </w:r>
      <w:r>
        <w:rPr>
          <w:spacing w:val="30"/>
        </w:rPr>
        <w:t> </w:t>
      </w:r>
      <w:r>
        <w:rPr/>
        <w:t>concentrations,</w:t>
      </w:r>
      <w:r>
        <w:rPr>
          <w:spacing w:val="33"/>
        </w:rPr>
        <w:t> </w:t>
      </w:r>
      <w:r>
        <w:rPr/>
        <w:t>although</w:t>
      </w:r>
      <w:r>
        <w:rPr>
          <w:spacing w:val="28"/>
        </w:rPr>
        <w:t> </w:t>
      </w:r>
      <w:r>
        <w:rPr/>
        <w:t>under</w:t>
      </w:r>
      <w:r>
        <w:rPr>
          <w:spacing w:val="31"/>
        </w:rPr>
        <w:t> </w:t>
      </w:r>
      <w:r>
        <w:rPr/>
        <w:t>conditions</w:t>
      </w:r>
      <w:r>
        <w:rPr>
          <w:spacing w:val="28"/>
        </w:rPr>
        <w:t> </w:t>
      </w:r>
      <w:r>
        <w:rPr/>
        <w:t>of</w:t>
      </w:r>
      <w:r>
        <w:rPr>
          <w:spacing w:val="31"/>
        </w:rPr>
        <w:t> </w:t>
      </w:r>
      <w:r>
        <w:rPr/>
        <w:t>high</w:t>
      </w:r>
      <w:r>
        <w:rPr>
          <w:spacing w:val="27"/>
        </w:rPr>
        <w:t> </w:t>
      </w:r>
      <w:r>
        <w:rPr/>
        <w:t>metabolic</w:t>
      </w:r>
    </w:p>
    <w:p>
      <w:pPr>
        <w:spacing w:after="0" w:line="494" w:lineRule="auto"/>
        <w:jc w:val="both"/>
        <w:sectPr>
          <w:pgSz w:w="12240" w:h="15840"/>
          <w:pgMar w:header="0" w:footer="916" w:top="1260" w:bottom="1100" w:left="1720" w:right="960"/>
        </w:sectPr>
      </w:pPr>
    </w:p>
    <w:p>
      <w:pPr>
        <w:pStyle w:val="BodyText"/>
        <w:spacing w:line="491" w:lineRule="auto" w:before="75"/>
        <w:ind w:left="665" w:right="902"/>
        <w:jc w:val="both"/>
      </w:pPr>
      <w:r>
        <w:rPr/>
        <w:t>demand,</w:t>
      </w:r>
      <w:r>
        <w:rPr>
          <w:spacing w:val="32"/>
        </w:rPr>
        <w:t> </w:t>
      </w:r>
      <w:r>
        <w:rPr/>
        <w:t>exposure</w:t>
      </w:r>
      <w:r>
        <w:rPr>
          <w:spacing w:val="32"/>
        </w:rPr>
        <w:t> </w:t>
      </w:r>
      <w:r>
        <w:rPr/>
        <w:t>to</w:t>
      </w:r>
      <w:r>
        <w:rPr>
          <w:spacing w:val="39"/>
        </w:rPr>
        <w:t> </w:t>
      </w:r>
      <w:r>
        <w:rPr/>
        <w:t>even 1,000</w:t>
      </w:r>
      <w:r>
        <w:rPr>
          <w:spacing w:val="29"/>
        </w:rPr>
        <w:t> </w:t>
      </w:r>
      <w:r>
        <w:rPr/>
        <w:t>ppm</w:t>
      </w:r>
      <w:r>
        <w:rPr>
          <w:spacing w:val="29"/>
        </w:rPr>
        <w:t> </w:t>
      </w:r>
      <w:r>
        <w:rPr/>
        <w:t>of</w:t>
      </w:r>
      <w:r>
        <w:rPr>
          <w:spacing w:val="27"/>
        </w:rPr>
        <w:t> </w:t>
      </w:r>
      <w:r>
        <w:rPr/>
        <w:t>CO</w:t>
      </w:r>
      <w:r>
        <w:rPr>
          <w:spacing w:val="32"/>
        </w:rPr>
        <w:t> </w:t>
      </w:r>
      <w:r>
        <w:rPr/>
        <w:t>in the</w:t>
      </w:r>
      <w:r>
        <w:rPr>
          <w:spacing w:val="26"/>
        </w:rPr>
        <w:t> </w:t>
      </w:r>
      <w:r>
        <w:rPr/>
        <w:t>absence</w:t>
      </w:r>
      <w:r>
        <w:rPr>
          <w:spacing w:val="32"/>
        </w:rPr>
        <w:t> </w:t>
      </w:r>
      <w:r>
        <w:rPr/>
        <w:t>of</w:t>
      </w:r>
      <w:r>
        <w:rPr>
          <w:spacing w:val="27"/>
        </w:rPr>
        <w:t> </w:t>
      </w:r>
      <w:r>
        <w:rPr/>
        <w:t>an overt</w:t>
      </w:r>
      <w:r>
        <w:rPr>
          <w:spacing w:val="31"/>
        </w:rPr>
        <w:t> </w:t>
      </w:r>
      <w:r>
        <w:rPr/>
        <w:t>hypoxic</w:t>
      </w:r>
      <w:r>
        <w:rPr>
          <w:spacing w:val="32"/>
        </w:rPr>
        <w:t> </w:t>
      </w:r>
      <w:r>
        <w:rPr/>
        <w:t>stress will</w:t>
      </w:r>
      <w:r>
        <w:rPr>
          <w:spacing w:val="38"/>
        </w:rPr>
        <w:t> </w:t>
      </w:r>
      <w:r>
        <w:rPr/>
        <w:t>result</w:t>
      </w:r>
      <w:r>
        <w:rPr>
          <w:spacing w:val="38"/>
        </w:rPr>
        <w:t> </w:t>
      </w:r>
      <w:r>
        <w:rPr/>
        <w:t>in impaired</w:t>
      </w:r>
      <w:r>
        <w:rPr>
          <w:spacing w:val="40"/>
        </w:rPr>
        <w:t> </w:t>
      </w:r>
      <w:r>
        <w:rPr/>
        <w:t>energy production in the brain (Meilin </w:t>
      </w:r>
      <w:r>
        <w:rPr>
          <w:i/>
        </w:rPr>
        <w:t>et</w:t>
      </w:r>
      <w:r>
        <w:rPr>
          <w:i/>
          <w:spacing w:val="38"/>
        </w:rPr>
        <w:t> </w:t>
      </w:r>
      <w:r>
        <w:rPr>
          <w:i/>
        </w:rPr>
        <w:t>al</w:t>
      </w:r>
      <w:r>
        <w:rPr/>
        <w:t>., 1996). Studies in mice indicate that high CO concentrations inhibit synthesis of high-energy phosphates during exposure to 5,000 ppm CO for 15 minutes and these changes do not persist following removal to fresh air (Matsuoka </w:t>
      </w:r>
      <w:r>
        <w:rPr>
          <w:i/>
        </w:rPr>
        <w:t>et al</w:t>
      </w:r>
      <w:r>
        <w:rPr/>
        <w:t>., 1993).</w:t>
      </w:r>
    </w:p>
    <w:p>
      <w:pPr>
        <w:pStyle w:val="BodyText"/>
      </w:pPr>
    </w:p>
    <w:p>
      <w:pPr>
        <w:pStyle w:val="BodyText"/>
        <w:spacing w:before="16"/>
      </w:pPr>
    </w:p>
    <w:p>
      <w:pPr>
        <w:pStyle w:val="Heading3"/>
        <w:numPr>
          <w:ilvl w:val="2"/>
          <w:numId w:val="18"/>
        </w:numPr>
        <w:tabs>
          <w:tab w:pos="1171" w:val="left" w:leader="none"/>
        </w:tabs>
        <w:spacing w:line="240" w:lineRule="auto" w:before="0" w:after="0"/>
        <w:ind w:left="1171" w:right="0" w:hanging="506"/>
        <w:jc w:val="left"/>
      </w:pPr>
      <w:bookmarkStart w:name="_TOC_250035" w:id="22"/>
      <w:r>
        <w:rPr/>
        <w:t>Vascular</w:t>
      </w:r>
      <w:r>
        <w:rPr>
          <w:spacing w:val="12"/>
        </w:rPr>
        <w:t> </w:t>
      </w:r>
      <w:r>
        <w:rPr/>
        <w:t>Insults</w:t>
      </w:r>
      <w:r>
        <w:rPr>
          <w:spacing w:val="11"/>
        </w:rPr>
        <w:t> </w:t>
      </w:r>
      <w:r>
        <w:rPr/>
        <w:t>Associated</w:t>
      </w:r>
      <w:r>
        <w:rPr>
          <w:spacing w:val="11"/>
        </w:rPr>
        <w:t> </w:t>
      </w:r>
      <w:r>
        <w:rPr/>
        <w:t>with</w:t>
      </w:r>
      <w:r>
        <w:rPr>
          <w:spacing w:val="16"/>
        </w:rPr>
        <w:t> </w:t>
      </w:r>
      <w:r>
        <w:rPr/>
        <w:t>Exposure</w:t>
      </w:r>
      <w:r>
        <w:rPr>
          <w:spacing w:val="13"/>
        </w:rPr>
        <w:t> </w:t>
      </w:r>
      <w:r>
        <w:rPr/>
        <w:t>to</w:t>
      </w:r>
      <w:r>
        <w:rPr>
          <w:spacing w:val="20"/>
        </w:rPr>
        <w:t> </w:t>
      </w:r>
      <w:r>
        <w:rPr/>
        <w:t>Carbon</w:t>
      </w:r>
      <w:r>
        <w:rPr>
          <w:spacing w:val="5"/>
        </w:rPr>
        <w:t> </w:t>
      </w:r>
      <w:bookmarkEnd w:id="22"/>
      <w:r>
        <w:rPr>
          <w:spacing w:val="-2"/>
        </w:rPr>
        <w:t>Monoxide</w:t>
      </w:r>
    </w:p>
    <w:p>
      <w:pPr>
        <w:pStyle w:val="BodyText"/>
        <w:spacing w:before="8"/>
        <w:rPr>
          <w:b/>
        </w:rPr>
      </w:pPr>
    </w:p>
    <w:p>
      <w:pPr>
        <w:pStyle w:val="BodyText"/>
        <w:spacing w:line="491" w:lineRule="auto"/>
        <w:ind w:left="665" w:right="888"/>
        <w:jc w:val="both"/>
      </w:pPr>
      <w:r>
        <w:rPr/>
        <w:t>The</w:t>
      </w:r>
      <w:r>
        <w:rPr>
          <w:spacing w:val="40"/>
        </w:rPr>
        <w:t> </w:t>
      </w:r>
      <w:r>
        <w:rPr/>
        <w:t>concentration and</w:t>
      </w:r>
      <w:r>
        <w:rPr>
          <w:spacing w:val="40"/>
        </w:rPr>
        <w:t> </w:t>
      </w:r>
      <w:r>
        <w:rPr/>
        <w:t>duration of CO</w:t>
      </w:r>
      <w:r>
        <w:rPr>
          <w:spacing w:val="40"/>
        </w:rPr>
        <w:t> </w:t>
      </w:r>
      <w:r>
        <w:rPr/>
        <w:t>exposure</w:t>
      </w:r>
      <w:r>
        <w:rPr>
          <w:spacing w:val="40"/>
        </w:rPr>
        <w:t> </w:t>
      </w:r>
      <w:r>
        <w:rPr/>
        <w:t>are</w:t>
      </w:r>
      <w:r>
        <w:rPr>
          <w:spacing w:val="40"/>
        </w:rPr>
        <w:t> </w:t>
      </w:r>
      <w:r>
        <w:rPr/>
        <w:t>the</w:t>
      </w:r>
      <w:r>
        <w:rPr>
          <w:spacing w:val="40"/>
        </w:rPr>
        <w:t> </w:t>
      </w:r>
      <w:r>
        <w:rPr/>
        <w:t>two</w:t>
      </w:r>
      <w:r>
        <w:rPr>
          <w:spacing w:val="40"/>
        </w:rPr>
        <w:t> </w:t>
      </w:r>
      <w:r>
        <w:rPr/>
        <w:t>primary variables determining</w:t>
      </w:r>
      <w:r>
        <w:rPr>
          <w:spacing w:val="25"/>
        </w:rPr>
        <w:t> </w:t>
      </w:r>
      <w:r>
        <w:rPr/>
        <w:t>COHb</w:t>
      </w:r>
      <w:r>
        <w:rPr>
          <w:spacing w:val="37"/>
        </w:rPr>
        <w:t> </w:t>
      </w:r>
      <w:r>
        <w:rPr/>
        <w:t>level</w:t>
      </w:r>
      <w:r>
        <w:rPr>
          <w:spacing w:val="28"/>
        </w:rPr>
        <w:t> </w:t>
      </w:r>
      <w:r>
        <w:rPr/>
        <w:t>and</w:t>
      </w:r>
      <w:r>
        <w:rPr>
          <w:spacing w:val="37"/>
        </w:rPr>
        <w:t> </w:t>
      </w:r>
      <w:r>
        <w:rPr/>
        <w:t>ultimately the</w:t>
      </w:r>
      <w:r>
        <w:rPr>
          <w:spacing w:val="29"/>
        </w:rPr>
        <w:t> </w:t>
      </w:r>
      <w:r>
        <w:rPr/>
        <w:t>severity of</w:t>
      </w:r>
      <w:r>
        <w:rPr>
          <w:spacing w:val="29"/>
        </w:rPr>
        <w:t> </w:t>
      </w:r>
      <w:r>
        <w:rPr/>
        <w:t>the</w:t>
      </w:r>
      <w:r>
        <w:rPr>
          <w:spacing w:val="28"/>
        </w:rPr>
        <w:t> </w:t>
      </w:r>
      <w:r>
        <w:rPr/>
        <w:t>pathology.</w:t>
      </w:r>
      <w:r>
        <w:rPr>
          <w:spacing w:val="33"/>
        </w:rPr>
        <w:t> </w:t>
      </w:r>
      <w:r>
        <w:rPr/>
        <w:t>Substantial</w:t>
      </w:r>
      <w:r>
        <w:rPr>
          <w:spacing w:val="28"/>
        </w:rPr>
        <w:t> </w:t>
      </w:r>
      <w:r>
        <w:rPr/>
        <w:t>body of literature</w:t>
      </w:r>
      <w:r>
        <w:rPr>
          <w:spacing w:val="40"/>
        </w:rPr>
        <w:t> </w:t>
      </w:r>
      <w:r>
        <w:rPr/>
        <w:t>suggests</w:t>
      </w:r>
      <w:r>
        <w:rPr>
          <w:spacing w:val="40"/>
        </w:rPr>
        <w:t> </w:t>
      </w:r>
      <w:r>
        <w:rPr/>
        <w:t>that,</w:t>
      </w:r>
      <w:r>
        <w:rPr>
          <w:spacing w:val="40"/>
        </w:rPr>
        <w:t> </w:t>
      </w:r>
      <w:r>
        <w:rPr/>
        <w:t>at</w:t>
      </w:r>
      <w:r>
        <w:rPr>
          <w:spacing w:val="40"/>
        </w:rPr>
        <w:t> </w:t>
      </w:r>
      <w:r>
        <w:rPr/>
        <w:t>least</w:t>
      </w:r>
      <w:r>
        <w:rPr>
          <w:spacing w:val="40"/>
        </w:rPr>
        <w:t> </w:t>
      </w:r>
      <w:r>
        <w:rPr/>
        <w:t>with</w:t>
      </w:r>
      <w:r>
        <w:rPr>
          <w:spacing w:val="40"/>
        </w:rPr>
        <w:t> </w:t>
      </w:r>
      <w:r>
        <w:rPr/>
        <w:t>regard</w:t>
      </w:r>
      <w:r>
        <w:rPr>
          <w:spacing w:val="40"/>
        </w:rPr>
        <w:t> </w:t>
      </w:r>
      <w:r>
        <w:rPr/>
        <w:t>to</w:t>
      </w:r>
      <w:r>
        <w:rPr>
          <w:spacing w:val="40"/>
        </w:rPr>
        <w:t> </w:t>
      </w:r>
      <w:r>
        <w:rPr/>
        <w:t>vascular</w:t>
      </w:r>
      <w:r>
        <w:rPr>
          <w:spacing w:val="40"/>
        </w:rPr>
        <w:t> </w:t>
      </w:r>
      <w:r>
        <w:rPr/>
        <w:t>effects,</w:t>
      </w:r>
      <w:r>
        <w:rPr>
          <w:spacing w:val="40"/>
        </w:rPr>
        <w:t> </w:t>
      </w:r>
      <w:r>
        <w:rPr/>
        <w:t>the</w:t>
      </w:r>
      <w:r>
        <w:rPr>
          <w:spacing w:val="40"/>
        </w:rPr>
        <w:t> </w:t>
      </w:r>
      <w:r>
        <w:rPr/>
        <w:t>duration</w:t>
      </w:r>
      <w:r>
        <w:rPr>
          <w:spacing w:val="40"/>
        </w:rPr>
        <w:t> </w:t>
      </w:r>
      <w:r>
        <w:rPr/>
        <w:t>of exposure has a greater impact on the magnitude of CO pathophysiology than what is predicted based on the concentration of CO that is inspired (Fein </w:t>
      </w:r>
      <w:r>
        <w:rPr>
          <w:i/>
        </w:rPr>
        <w:t>et al</w:t>
      </w:r>
      <w:r>
        <w:rPr/>
        <w:t>., 1980; Penney </w:t>
      </w:r>
      <w:r>
        <w:rPr>
          <w:i/>
        </w:rPr>
        <w:t>et al</w:t>
      </w:r>
      <w:r>
        <w:rPr/>
        <w:t>., 2008).</w:t>
      </w:r>
    </w:p>
    <w:p>
      <w:pPr>
        <w:pStyle w:val="BodyText"/>
      </w:pPr>
    </w:p>
    <w:p>
      <w:pPr>
        <w:pStyle w:val="BodyText"/>
        <w:spacing w:before="16"/>
      </w:pPr>
    </w:p>
    <w:p>
      <w:pPr>
        <w:pStyle w:val="BodyText"/>
        <w:spacing w:line="491" w:lineRule="auto"/>
        <w:ind w:left="665" w:right="894"/>
        <w:jc w:val="both"/>
      </w:pPr>
      <w:r>
        <w:rPr/>
        <w:t>In light</w:t>
      </w:r>
      <w:r>
        <w:rPr>
          <w:spacing w:val="23"/>
        </w:rPr>
        <w:t> </w:t>
      </w:r>
      <w:r>
        <w:rPr/>
        <w:t>of the physiological role of CO</w:t>
      </w:r>
      <w:r>
        <w:rPr>
          <w:spacing w:val="29"/>
        </w:rPr>
        <w:t> </w:t>
      </w:r>
      <w:r>
        <w:rPr/>
        <w:t>in</w:t>
      </w:r>
      <w:r>
        <w:rPr>
          <w:spacing w:val="22"/>
        </w:rPr>
        <w:t> </w:t>
      </w:r>
      <w:r>
        <w:rPr/>
        <w:t>vasomotor control, protracted</w:t>
      </w:r>
      <w:r>
        <w:rPr>
          <w:spacing w:val="25"/>
        </w:rPr>
        <w:t> </w:t>
      </w:r>
      <w:r>
        <w:rPr/>
        <w:t>exposures may be prone to disturb vascular homeostasis, giving rise to pathophysiological responses (Thomsen, 1974). Carbon monoxide may cause vascular insults through leakage of albumin.</w:t>
      </w:r>
      <w:r>
        <w:rPr>
          <w:spacing w:val="40"/>
        </w:rPr>
        <w:t> </w:t>
      </w:r>
      <w:r>
        <w:rPr/>
        <w:t>Leucocyte</w:t>
      </w:r>
      <w:r>
        <w:rPr>
          <w:spacing w:val="40"/>
        </w:rPr>
        <w:t> </w:t>
      </w:r>
      <w:r>
        <w:rPr/>
        <w:t>sequestration</w:t>
      </w:r>
      <w:r>
        <w:rPr>
          <w:spacing w:val="40"/>
        </w:rPr>
        <w:t> </w:t>
      </w:r>
      <w:r>
        <w:rPr/>
        <w:t>has</w:t>
      </w:r>
      <w:r>
        <w:rPr>
          <w:spacing w:val="40"/>
        </w:rPr>
        <w:t> </w:t>
      </w:r>
      <w:r>
        <w:rPr/>
        <w:t>been</w:t>
      </w:r>
      <w:r>
        <w:rPr>
          <w:spacing w:val="40"/>
        </w:rPr>
        <w:t> </w:t>
      </w:r>
      <w:r>
        <w:rPr/>
        <w:t>shown</w:t>
      </w:r>
      <w:r>
        <w:rPr>
          <w:spacing w:val="40"/>
        </w:rPr>
        <w:t> </w:t>
      </w:r>
      <w:r>
        <w:rPr/>
        <w:t>following</w:t>
      </w:r>
      <w:r>
        <w:rPr>
          <w:spacing w:val="40"/>
        </w:rPr>
        <w:t> </w:t>
      </w:r>
      <w:r>
        <w:rPr/>
        <w:t>exposures</w:t>
      </w:r>
      <w:r>
        <w:rPr>
          <w:spacing w:val="40"/>
        </w:rPr>
        <w:t> </w:t>
      </w:r>
      <w:r>
        <w:rPr/>
        <w:t>of</w:t>
      </w:r>
      <w:r>
        <w:rPr>
          <w:spacing w:val="40"/>
        </w:rPr>
        <w:t> </w:t>
      </w:r>
      <w:r>
        <w:rPr/>
        <w:t>rats</w:t>
      </w:r>
      <w:r>
        <w:rPr>
          <w:spacing w:val="40"/>
        </w:rPr>
        <w:t> </w:t>
      </w:r>
      <w:r>
        <w:rPr/>
        <w:t>to</w:t>
      </w:r>
      <w:r>
        <w:rPr>
          <w:spacing w:val="40"/>
        </w:rPr>
        <w:t> </w:t>
      </w:r>
      <w:r>
        <w:rPr/>
        <w:t>50 ppm</w:t>
      </w:r>
      <w:r>
        <w:rPr>
          <w:spacing w:val="40"/>
        </w:rPr>
        <w:t> </w:t>
      </w:r>
      <w:r>
        <w:rPr/>
        <w:t>or</w:t>
      </w:r>
      <w:r>
        <w:rPr>
          <w:spacing w:val="40"/>
        </w:rPr>
        <w:t> </w:t>
      </w:r>
      <w:r>
        <w:rPr/>
        <w:t>more</w:t>
      </w:r>
      <w:r>
        <w:rPr>
          <w:spacing w:val="40"/>
        </w:rPr>
        <w:t> </w:t>
      </w:r>
      <w:r>
        <w:rPr/>
        <w:t>for</w:t>
      </w:r>
      <w:r>
        <w:rPr>
          <w:spacing w:val="40"/>
        </w:rPr>
        <w:t> </w:t>
      </w:r>
      <w:r>
        <w:rPr/>
        <w:t>1</w:t>
      </w:r>
      <w:r>
        <w:rPr>
          <w:spacing w:val="40"/>
        </w:rPr>
        <w:t> </w:t>
      </w:r>
      <w:r>
        <w:rPr/>
        <w:t>h,</w:t>
      </w:r>
      <w:r>
        <w:rPr>
          <w:spacing w:val="40"/>
        </w:rPr>
        <w:t> </w:t>
      </w:r>
      <w:r>
        <w:rPr/>
        <w:t>and</w:t>
      </w:r>
      <w:r>
        <w:rPr>
          <w:spacing w:val="40"/>
        </w:rPr>
        <w:t> </w:t>
      </w:r>
      <w:r>
        <w:rPr/>
        <w:t>the</w:t>
      </w:r>
      <w:r>
        <w:rPr>
          <w:spacing w:val="40"/>
        </w:rPr>
        <w:t> </w:t>
      </w:r>
      <w:r>
        <w:rPr/>
        <w:t>process</w:t>
      </w:r>
      <w:r>
        <w:rPr>
          <w:spacing w:val="40"/>
        </w:rPr>
        <w:t> </w:t>
      </w:r>
      <w:r>
        <w:rPr/>
        <w:t>is</w:t>
      </w:r>
      <w:r>
        <w:rPr>
          <w:spacing w:val="40"/>
        </w:rPr>
        <w:t> </w:t>
      </w:r>
      <w:r>
        <w:rPr/>
        <w:t>mediated</w:t>
      </w:r>
      <w:r>
        <w:rPr>
          <w:spacing w:val="40"/>
        </w:rPr>
        <w:t> </w:t>
      </w:r>
      <w:r>
        <w:rPr/>
        <w:t>by •NO-derived</w:t>
      </w:r>
      <w:r>
        <w:rPr>
          <w:spacing w:val="40"/>
        </w:rPr>
        <w:t> </w:t>
      </w:r>
      <w:r>
        <w:rPr/>
        <w:t>oxidants</w:t>
      </w:r>
      <w:r>
        <w:rPr>
          <w:spacing w:val="40"/>
        </w:rPr>
        <w:t> </w:t>
      </w:r>
      <w:r>
        <w:rPr/>
        <w:t>(Thom, 1990; Ischiropoulos </w:t>
      </w:r>
      <w:r>
        <w:rPr>
          <w:i/>
        </w:rPr>
        <w:t>et al</w:t>
      </w:r>
      <w:r>
        <w:rPr/>
        <w:t>., 1996; Thom </w:t>
      </w:r>
      <w:r>
        <w:rPr>
          <w:i/>
        </w:rPr>
        <w:t>et al</w:t>
      </w:r>
      <w:r>
        <w:rPr/>
        <w:t>.,</w:t>
      </w:r>
      <w:r>
        <w:rPr>
          <w:spacing w:val="40"/>
        </w:rPr>
        <w:t> </w:t>
      </w:r>
      <w:r>
        <w:rPr/>
        <w:t>1999). Brain oxidative</w:t>
      </w:r>
      <w:r>
        <w:rPr>
          <w:spacing w:val="40"/>
        </w:rPr>
        <w:t> </w:t>
      </w:r>
      <w:r>
        <w:rPr/>
        <w:t>stress associated with this mechanism</w:t>
      </w:r>
      <w:r>
        <w:rPr>
          <w:spacing w:val="37"/>
        </w:rPr>
        <w:t> </w:t>
      </w:r>
      <w:r>
        <w:rPr/>
        <w:t>has been shown in rats exposed</w:t>
      </w:r>
      <w:r>
        <w:rPr>
          <w:spacing w:val="37"/>
        </w:rPr>
        <w:t> </w:t>
      </w:r>
      <w:r>
        <w:rPr/>
        <w:t>to 1,000</w:t>
      </w:r>
      <w:r>
        <w:rPr>
          <w:spacing w:val="37"/>
        </w:rPr>
        <w:t> </w:t>
      </w:r>
      <w:r>
        <w:rPr/>
        <w:t>to 3,000</w:t>
      </w:r>
      <w:r>
        <w:rPr>
          <w:spacing w:val="33"/>
        </w:rPr>
        <w:t> </w:t>
      </w:r>
      <w:r>
        <w:rPr/>
        <w:t>ppm</w:t>
      </w:r>
      <w:r>
        <w:rPr>
          <w:spacing w:val="33"/>
        </w:rPr>
        <w:t> </w:t>
      </w:r>
      <w:r>
        <w:rPr/>
        <w:t>CO</w:t>
      </w:r>
      <w:r>
        <w:rPr>
          <w:spacing w:val="31"/>
        </w:rPr>
        <w:t> </w:t>
      </w:r>
      <w:r>
        <w:rPr/>
        <w:t>for 1 hour (Thom, 1990; Ischiropoulos </w:t>
      </w:r>
      <w:r>
        <w:rPr>
          <w:i/>
        </w:rPr>
        <w:t>et al</w:t>
      </w:r>
      <w:r>
        <w:rPr/>
        <w:t>., 1996).</w:t>
      </w:r>
    </w:p>
    <w:p>
      <w:pPr>
        <w:spacing w:after="0" w:line="491" w:lineRule="auto"/>
        <w:jc w:val="both"/>
        <w:sectPr>
          <w:pgSz w:w="12240" w:h="15840"/>
          <w:pgMar w:header="0" w:footer="916" w:top="1260" w:bottom="1100" w:left="1720" w:right="960"/>
        </w:sectPr>
      </w:pPr>
    </w:p>
    <w:p>
      <w:pPr>
        <w:pStyle w:val="ListParagraph"/>
        <w:numPr>
          <w:ilvl w:val="1"/>
          <w:numId w:val="16"/>
        </w:numPr>
        <w:tabs>
          <w:tab w:pos="979" w:val="left" w:leader="none"/>
        </w:tabs>
        <w:spacing w:line="240" w:lineRule="auto" w:before="79" w:after="0"/>
        <w:ind w:left="979" w:right="0" w:hanging="314"/>
        <w:jc w:val="both"/>
        <w:rPr>
          <w:b/>
          <w:sz w:val="20"/>
        </w:rPr>
      </w:pPr>
      <w:r>
        <w:rPr>
          <w:b/>
          <w:sz w:val="20"/>
        </w:rPr>
        <w:t>CARBON</w:t>
      </w:r>
      <w:r>
        <w:rPr>
          <w:b/>
          <w:spacing w:val="19"/>
          <w:sz w:val="20"/>
        </w:rPr>
        <w:t> </w:t>
      </w:r>
      <w:r>
        <w:rPr>
          <w:b/>
          <w:sz w:val="20"/>
        </w:rPr>
        <w:t>MONOXIDE</w:t>
      </w:r>
      <w:r>
        <w:rPr>
          <w:b/>
          <w:spacing w:val="20"/>
          <w:sz w:val="20"/>
        </w:rPr>
        <w:t> </w:t>
      </w:r>
      <w:r>
        <w:rPr>
          <w:b/>
          <w:sz w:val="20"/>
        </w:rPr>
        <w:t>AND</w:t>
      </w:r>
      <w:r>
        <w:rPr>
          <w:b/>
          <w:spacing w:val="25"/>
          <w:sz w:val="20"/>
        </w:rPr>
        <w:t> </w:t>
      </w:r>
      <w:r>
        <w:rPr>
          <w:b/>
          <w:sz w:val="20"/>
        </w:rPr>
        <w:t>OXIDATIVE</w:t>
      </w:r>
      <w:r>
        <w:rPr>
          <w:b/>
          <w:spacing w:val="29"/>
          <w:sz w:val="20"/>
        </w:rPr>
        <w:t> </w:t>
      </w:r>
      <w:r>
        <w:rPr>
          <w:b/>
          <w:spacing w:val="-2"/>
          <w:sz w:val="20"/>
        </w:rPr>
        <w:t>DAMAGE</w:t>
      </w:r>
    </w:p>
    <w:p>
      <w:pPr>
        <w:pStyle w:val="BodyText"/>
        <w:spacing w:before="11"/>
        <w:rPr>
          <w:b/>
          <w:sz w:val="20"/>
        </w:rPr>
      </w:pPr>
    </w:p>
    <w:p>
      <w:pPr>
        <w:pStyle w:val="BodyText"/>
        <w:spacing w:line="491" w:lineRule="auto"/>
        <w:ind w:left="665" w:right="893"/>
        <w:jc w:val="both"/>
      </w:pPr>
      <w:r>
        <w:rPr/>
        <w:t>Studies on laboratory animals</w:t>
      </w:r>
      <w:r>
        <w:rPr>
          <w:spacing w:val="40"/>
        </w:rPr>
        <w:t> </w:t>
      </w:r>
      <w:r>
        <w:rPr/>
        <w:t>show endogenous production of nitrogen and</w:t>
      </w:r>
      <w:r>
        <w:rPr>
          <w:spacing w:val="40"/>
        </w:rPr>
        <w:t> </w:t>
      </w:r>
      <w:r>
        <w:rPr/>
        <w:t>oxygen- based free radicals after CO exposures at concentrations of greater than or equals to 20 ppm for varying periods of time. Exposure to 20 ppm for 1 hour leads to production of nitric oxide free radical (•NO)</w:t>
      </w:r>
      <w:r>
        <w:rPr>
          <w:spacing w:val="40"/>
        </w:rPr>
        <w:t> </w:t>
      </w:r>
      <w:r>
        <w:rPr/>
        <w:t>in the</w:t>
      </w:r>
      <w:r>
        <w:rPr>
          <w:spacing w:val="40"/>
        </w:rPr>
        <w:t> </w:t>
      </w:r>
      <w:r>
        <w:rPr/>
        <w:t>systemic circulation of rats,</w:t>
      </w:r>
      <w:r>
        <w:rPr>
          <w:spacing w:val="40"/>
        </w:rPr>
        <w:t> </w:t>
      </w:r>
      <w:r>
        <w:rPr/>
        <w:t>with platelets as the main source (Thom </w:t>
      </w:r>
      <w:r>
        <w:rPr>
          <w:i/>
        </w:rPr>
        <w:t>et al</w:t>
      </w:r>
      <w:r>
        <w:rPr/>
        <w:t>., 1999). In another study by the same author; exposure of</w:t>
      </w:r>
      <w:r>
        <w:rPr>
          <w:spacing w:val="40"/>
        </w:rPr>
        <w:t> </w:t>
      </w:r>
      <w:r>
        <w:rPr/>
        <w:t>cultured</w:t>
      </w:r>
      <w:r>
        <w:rPr>
          <w:spacing w:val="25"/>
        </w:rPr>
        <w:t> </w:t>
      </w:r>
      <w:r>
        <w:rPr/>
        <w:t>bovine</w:t>
      </w:r>
      <w:r>
        <w:rPr>
          <w:spacing w:val="24"/>
        </w:rPr>
        <w:t> </w:t>
      </w:r>
      <w:r>
        <w:rPr/>
        <w:t>pulmonary</w:t>
      </w:r>
      <w:r>
        <w:rPr>
          <w:spacing w:val="15"/>
        </w:rPr>
        <w:t> </w:t>
      </w:r>
      <w:r>
        <w:rPr/>
        <w:t>endothelial</w:t>
      </w:r>
      <w:r>
        <w:rPr>
          <w:spacing w:val="22"/>
        </w:rPr>
        <w:t> </w:t>
      </w:r>
      <w:r>
        <w:rPr/>
        <w:t>cells</w:t>
      </w:r>
      <w:r>
        <w:rPr>
          <w:spacing w:val="26"/>
        </w:rPr>
        <w:t> </w:t>
      </w:r>
      <w:r>
        <w:rPr/>
        <w:t>to</w:t>
      </w:r>
      <w:r>
        <w:rPr>
          <w:spacing w:val="31"/>
        </w:rPr>
        <w:t> </w:t>
      </w:r>
      <w:r>
        <w:rPr/>
        <w:t>as</w:t>
      </w:r>
      <w:r>
        <w:rPr>
          <w:spacing w:val="32"/>
        </w:rPr>
        <w:t> </w:t>
      </w:r>
      <w:r>
        <w:rPr/>
        <w:t>low</w:t>
      </w:r>
      <w:r>
        <w:rPr>
          <w:spacing w:val="29"/>
        </w:rPr>
        <w:t> </w:t>
      </w:r>
      <w:r>
        <w:rPr/>
        <w:t>as</w:t>
      </w:r>
      <w:r>
        <w:rPr>
          <w:spacing w:val="26"/>
        </w:rPr>
        <w:t> </w:t>
      </w:r>
      <w:r>
        <w:rPr/>
        <w:t>20</w:t>
      </w:r>
      <w:r>
        <w:rPr>
          <w:spacing w:val="31"/>
        </w:rPr>
        <w:t> </w:t>
      </w:r>
      <w:r>
        <w:rPr/>
        <w:t>ppm</w:t>
      </w:r>
      <w:r>
        <w:rPr>
          <w:spacing w:val="31"/>
        </w:rPr>
        <w:t> </w:t>
      </w:r>
      <w:r>
        <w:rPr/>
        <w:t>cause</w:t>
      </w:r>
      <w:r>
        <w:rPr>
          <w:spacing w:val="29"/>
        </w:rPr>
        <w:t> </w:t>
      </w:r>
      <w:r>
        <w:rPr/>
        <w:t>cells</w:t>
      </w:r>
      <w:r>
        <w:rPr>
          <w:spacing w:val="26"/>
        </w:rPr>
        <w:t> </w:t>
      </w:r>
      <w:r>
        <w:rPr/>
        <w:t>to</w:t>
      </w:r>
      <w:r>
        <w:rPr>
          <w:spacing w:val="31"/>
        </w:rPr>
        <w:t> </w:t>
      </w:r>
      <w:r>
        <w:rPr/>
        <w:t>release</w:t>
      </w:r>
    </w:p>
    <w:p>
      <w:pPr>
        <w:pStyle w:val="ListParagraph"/>
        <w:numPr>
          <w:ilvl w:val="0"/>
          <w:numId w:val="19"/>
        </w:numPr>
        <w:tabs>
          <w:tab w:pos="745" w:val="left" w:leader="none"/>
        </w:tabs>
        <w:spacing w:line="491" w:lineRule="auto" w:before="4" w:after="0"/>
        <w:ind w:left="665" w:right="902" w:firstLine="0"/>
        <w:jc w:val="both"/>
        <w:rPr>
          <w:sz w:val="22"/>
        </w:rPr>
      </w:pPr>
      <w:r>
        <w:rPr>
          <w:sz w:val="22"/>
        </w:rPr>
        <w:t>NO,</w:t>
      </w:r>
      <w:r>
        <w:rPr>
          <w:spacing w:val="40"/>
          <w:sz w:val="22"/>
        </w:rPr>
        <w:t> </w:t>
      </w:r>
      <w:r>
        <w:rPr>
          <w:sz w:val="22"/>
        </w:rPr>
        <w:t>which</w:t>
      </w:r>
      <w:r>
        <w:rPr>
          <w:spacing w:val="40"/>
          <w:sz w:val="22"/>
        </w:rPr>
        <w:t> </w:t>
      </w:r>
      <w:r>
        <w:rPr>
          <w:sz w:val="22"/>
        </w:rPr>
        <w:t>may</w:t>
      </w:r>
      <w:r>
        <w:rPr>
          <w:spacing w:val="40"/>
          <w:sz w:val="22"/>
        </w:rPr>
        <w:t> </w:t>
      </w:r>
      <w:r>
        <w:rPr>
          <w:sz w:val="22"/>
        </w:rPr>
        <w:t>lead</w:t>
      </w:r>
      <w:r>
        <w:rPr>
          <w:spacing w:val="40"/>
          <w:sz w:val="22"/>
        </w:rPr>
        <w:t> </w:t>
      </w:r>
      <w:r>
        <w:rPr>
          <w:sz w:val="22"/>
        </w:rPr>
        <w:t>to</w:t>
      </w:r>
      <w:r>
        <w:rPr>
          <w:spacing w:val="40"/>
          <w:sz w:val="22"/>
        </w:rPr>
        <w:t> </w:t>
      </w:r>
      <w:r>
        <w:rPr>
          <w:sz w:val="22"/>
        </w:rPr>
        <w:t>death</w:t>
      </w:r>
      <w:r>
        <w:rPr>
          <w:spacing w:val="40"/>
          <w:sz w:val="22"/>
        </w:rPr>
        <w:t> </w:t>
      </w:r>
      <w:r>
        <w:rPr>
          <w:sz w:val="22"/>
        </w:rPr>
        <w:t>in</w:t>
      </w:r>
      <w:r>
        <w:rPr>
          <w:spacing w:val="40"/>
          <w:sz w:val="22"/>
        </w:rPr>
        <w:t> </w:t>
      </w:r>
      <w:r>
        <w:rPr>
          <w:sz w:val="22"/>
        </w:rPr>
        <w:t>18</w:t>
      </w:r>
      <w:r>
        <w:rPr>
          <w:spacing w:val="40"/>
          <w:sz w:val="22"/>
        </w:rPr>
        <w:t> </w:t>
      </w:r>
      <w:r>
        <w:rPr>
          <w:sz w:val="22"/>
        </w:rPr>
        <w:t>to</w:t>
      </w:r>
      <w:r>
        <w:rPr>
          <w:spacing w:val="40"/>
          <w:sz w:val="22"/>
        </w:rPr>
        <w:t> </w:t>
      </w:r>
      <w:r>
        <w:rPr>
          <w:sz w:val="22"/>
        </w:rPr>
        <w:t>24</w:t>
      </w:r>
      <w:r>
        <w:rPr>
          <w:spacing w:val="40"/>
          <w:sz w:val="22"/>
        </w:rPr>
        <w:t> </w:t>
      </w:r>
      <w:r>
        <w:rPr>
          <w:sz w:val="22"/>
        </w:rPr>
        <w:t>hours</w:t>
      </w:r>
      <w:r>
        <w:rPr>
          <w:spacing w:val="40"/>
          <w:sz w:val="22"/>
        </w:rPr>
        <w:t> </w:t>
      </w:r>
      <w:r>
        <w:rPr>
          <w:sz w:val="22"/>
        </w:rPr>
        <w:t>(Thom,</w:t>
      </w:r>
      <w:r>
        <w:rPr>
          <w:spacing w:val="40"/>
          <w:sz w:val="22"/>
        </w:rPr>
        <w:t> </w:t>
      </w:r>
      <w:r>
        <w:rPr>
          <w:sz w:val="22"/>
        </w:rPr>
        <w:t>1990).</w:t>
      </w:r>
      <w:r>
        <w:rPr>
          <w:spacing w:val="40"/>
          <w:sz w:val="22"/>
        </w:rPr>
        <w:t> </w:t>
      </w:r>
      <w:r>
        <w:rPr>
          <w:sz w:val="22"/>
        </w:rPr>
        <w:t>The</w:t>
      </w:r>
      <w:r>
        <w:rPr>
          <w:spacing w:val="40"/>
          <w:sz w:val="22"/>
        </w:rPr>
        <w:t> </w:t>
      </w:r>
      <w:r>
        <w:rPr>
          <w:sz w:val="22"/>
        </w:rPr>
        <w:t>mechanism involved steady-state elevation of •NO concentration and production of peroxynitrite (Thom </w:t>
      </w:r>
      <w:r>
        <w:rPr>
          <w:i/>
          <w:sz w:val="22"/>
        </w:rPr>
        <w:t>et al</w:t>
      </w:r>
      <w:r>
        <w:rPr>
          <w:sz w:val="22"/>
        </w:rPr>
        <w:t>., 1999). Peroxynitrite is a strong oxidant with relatively longer half-life produced by the reaction between •NO and</w:t>
      </w:r>
      <w:r>
        <w:rPr>
          <w:spacing w:val="38"/>
          <w:sz w:val="22"/>
        </w:rPr>
        <w:t> </w:t>
      </w:r>
      <w:r>
        <w:rPr>
          <w:sz w:val="22"/>
        </w:rPr>
        <w:t>superoxide radical (Huie </w:t>
      </w:r>
      <w:r>
        <w:rPr>
          <w:i/>
          <w:sz w:val="22"/>
        </w:rPr>
        <w:t>et al</w:t>
      </w:r>
      <w:r>
        <w:rPr>
          <w:sz w:val="22"/>
        </w:rPr>
        <w:t>., 1993).</w:t>
      </w:r>
    </w:p>
    <w:p>
      <w:pPr>
        <w:pStyle w:val="BodyText"/>
      </w:pPr>
    </w:p>
    <w:p>
      <w:pPr>
        <w:pStyle w:val="BodyText"/>
        <w:spacing w:before="11"/>
      </w:pPr>
    </w:p>
    <w:p>
      <w:pPr>
        <w:pStyle w:val="BodyText"/>
        <w:spacing w:line="491" w:lineRule="auto" w:before="1"/>
        <w:ind w:left="665" w:right="901"/>
        <w:jc w:val="both"/>
      </w:pPr>
      <w:r>
        <w:rPr/>
        <w:t>Carbon</w:t>
      </w:r>
      <w:r>
        <w:rPr>
          <w:spacing w:val="40"/>
        </w:rPr>
        <w:t> </w:t>
      </w:r>
      <w:r>
        <w:rPr/>
        <w:t>monoxide</w:t>
      </w:r>
      <w:r>
        <w:rPr>
          <w:spacing w:val="40"/>
        </w:rPr>
        <w:t> </w:t>
      </w:r>
      <w:r>
        <w:rPr/>
        <w:t>concentration</w:t>
      </w:r>
      <w:r>
        <w:rPr>
          <w:spacing w:val="40"/>
        </w:rPr>
        <w:t> </w:t>
      </w:r>
      <w:r>
        <w:rPr/>
        <w:t>of</w:t>
      </w:r>
      <w:r>
        <w:rPr>
          <w:spacing w:val="40"/>
        </w:rPr>
        <w:t> </w:t>
      </w:r>
      <w:r>
        <w:rPr/>
        <w:t>≥</w:t>
      </w:r>
      <w:r>
        <w:rPr>
          <w:spacing w:val="40"/>
        </w:rPr>
        <w:t> </w:t>
      </w:r>
      <w:r>
        <w:rPr/>
        <w:t>11</w:t>
      </w:r>
      <w:r>
        <w:rPr>
          <w:spacing w:val="40"/>
        </w:rPr>
        <w:t> </w:t>
      </w:r>
      <w:r>
        <w:rPr/>
        <w:t>nmol</w:t>
      </w:r>
      <w:r>
        <w:rPr>
          <w:spacing w:val="40"/>
        </w:rPr>
        <w:t> </w:t>
      </w:r>
      <w:r>
        <w:rPr/>
        <w:t>is</w:t>
      </w:r>
      <w:r>
        <w:rPr>
          <w:spacing w:val="40"/>
        </w:rPr>
        <w:t> </w:t>
      </w:r>
      <w:r>
        <w:rPr/>
        <w:t>enough</w:t>
      </w:r>
      <w:r>
        <w:rPr>
          <w:spacing w:val="40"/>
        </w:rPr>
        <w:t> </w:t>
      </w:r>
      <w:r>
        <w:rPr/>
        <w:t>to</w:t>
      </w:r>
      <w:r>
        <w:rPr>
          <w:spacing w:val="40"/>
        </w:rPr>
        <w:t> </w:t>
      </w:r>
      <w:r>
        <w:rPr/>
        <w:t>cause</w:t>
      </w:r>
      <w:r>
        <w:rPr>
          <w:spacing w:val="40"/>
        </w:rPr>
        <w:t> </w:t>
      </w:r>
      <w:r>
        <w:rPr/>
        <w:t>the</w:t>
      </w:r>
      <w:r>
        <w:rPr>
          <w:spacing w:val="40"/>
        </w:rPr>
        <w:t> </w:t>
      </w:r>
      <w:r>
        <w:rPr/>
        <w:t>steady-state increase in •NO level through alteration in the intracellular “routing” of •NO in</w:t>
      </w:r>
      <w:r>
        <w:rPr>
          <w:spacing w:val="40"/>
        </w:rPr>
        <w:t> </w:t>
      </w:r>
      <w:r>
        <w:rPr/>
        <w:t>endothelial</w:t>
      </w:r>
      <w:r>
        <w:rPr>
          <w:spacing w:val="38"/>
        </w:rPr>
        <w:t> </w:t>
      </w:r>
      <w:r>
        <w:rPr/>
        <w:t>cells</w:t>
      </w:r>
      <w:r>
        <w:rPr>
          <w:spacing w:val="37"/>
        </w:rPr>
        <w:t> </w:t>
      </w:r>
      <w:r>
        <w:rPr/>
        <w:t>and</w:t>
      </w:r>
      <w:r>
        <w:rPr>
          <w:spacing w:val="40"/>
        </w:rPr>
        <w:t> </w:t>
      </w:r>
      <w:r>
        <w:rPr/>
        <w:t>platelets.</w:t>
      </w:r>
      <w:r>
        <w:rPr>
          <w:spacing w:val="39"/>
        </w:rPr>
        <w:t> </w:t>
      </w:r>
      <w:r>
        <w:rPr/>
        <w:t>Gibson</w:t>
      </w:r>
      <w:r>
        <w:rPr>
          <w:spacing w:val="32"/>
        </w:rPr>
        <w:t> </w:t>
      </w:r>
      <w:r>
        <w:rPr>
          <w:i/>
        </w:rPr>
        <w:t>et</w:t>
      </w:r>
      <w:r>
        <w:rPr>
          <w:i/>
          <w:spacing w:val="38"/>
        </w:rPr>
        <w:t> </w:t>
      </w:r>
      <w:r>
        <w:rPr>
          <w:i/>
        </w:rPr>
        <w:t>al</w:t>
      </w:r>
      <w:r>
        <w:rPr/>
        <w:t>.</w:t>
      </w:r>
      <w:r>
        <w:rPr>
          <w:spacing w:val="39"/>
        </w:rPr>
        <w:t> </w:t>
      </w:r>
      <w:r>
        <w:rPr/>
        <w:t>(1986)</w:t>
      </w:r>
      <w:r>
        <w:rPr>
          <w:spacing w:val="34"/>
        </w:rPr>
        <w:t> </w:t>
      </w:r>
      <w:r>
        <w:rPr/>
        <w:t>documented</w:t>
      </w:r>
      <w:r>
        <w:rPr>
          <w:spacing w:val="40"/>
        </w:rPr>
        <w:t> </w:t>
      </w:r>
      <w:r>
        <w:rPr/>
        <w:t>that</w:t>
      </w:r>
      <w:r>
        <w:rPr>
          <w:spacing w:val="38"/>
        </w:rPr>
        <w:t> </w:t>
      </w:r>
      <w:r>
        <w:rPr/>
        <w:t>the</w:t>
      </w:r>
      <w:r>
        <w:rPr>
          <w:spacing w:val="39"/>
        </w:rPr>
        <w:t> </w:t>
      </w:r>
      <w:r>
        <w:rPr/>
        <w:t>rate</w:t>
      </w:r>
      <w:r>
        <w:rPr>
          <w:spacing w:val="39"/>
        </w:rPr>
        <w:t> </w:t>
      </w:r>
      <w:r>
        <w:rPr/>
        <w:t>constant for</w:t>
      </w:r>
      <w:r>
        <w:rPr>
          <w:spacing w:val="37"/>
        </w:rPr>
        <w:t> </w:t>
      </w:r>
      <w:r>
        <w:rPr/>
        <w:t>association and</w:t>
      </w:r>
      <w:r>
        <w:rPr>
          <w:spacing w:val="38"/>
        </w:rPr>
        <w:t> </w:t>
      </w:r>
      <w:r>
        <w:rPr/>
        <w:t>dissociation</w:t>
      </w:r>
      <w:r>
        <w:rPr>
          <w:spacing w:val="32"/>
        </w:rPr>
        <w:t> </w:t>
      </w:r>
      <w:r>
        <w:rPr/>
        <w:t>of</w:t>
      </w:r>
      <w:r>
        <w:rPr>
          <w:spacing w:val="31"/>
        </w:rPr>
        <w:t> </w:t>
      </w:r>
      <w:r>
        <w:rPr/>
        <w:t>•NO</w:t>
      </w:r>
      <w:r>
        <w:rPr>
          <w:spacing w:val="37"/>
        </w:rPr>
        <w:t> </w:t>
      </w:r>
      <w:r>
        <w:rPr/>
        <w:t>with haemoproteins</w:t>
      </w:r>
      <w:r>
        <w:rPr>
          <w:spacing w:val="33"/>
        </w:rPr>
        <w:t> </w:t>
      </w:r>
      <w:r>
        <w:rPr/>
        <w:t>exceeds</w:t>
      </w:r>
      <w:r>
        <w:rPr>
          <w:spacing w:val="33"/>
        </w:rPr>
        <w:t> </w:t>
      </w:r>
      <w:r>
        <w:rPr/>
        <w:t>the</w:t>
      </w:r>
      <w:r>
        <w:rPr>
          <w:spacing w:val="35"/>
        </w:rPr>
        <w:t> </w:t>
      </w:r>
      <w:r>
        <w:rPr/>
        <w:t>rate</w:t>
      </w:r>
      <w:r>
        <w:rPr>
          <w:spacing w:val="35"/>
        </w:rPr>
        <w:t> </w:t>
      </w:r>
      <w:r>
        <w:rPr/>
        <w:t>constants for</w:t>
      </w:r>
      <w:r>
        <w:rPr>
          <w:spacing w:val="16"/>
        </w:rPr>
        <w:t> </w:t>
      </w:r>
      <w:r>
        <w:rPr/>
        <w:t>O</w:t>
      </w:r>
      <w:r>
        <w:rPr>
          <w:vertAlign w:val="subscript"/>
        </w:rPr>
        <w:t>2</w:t>
      </w:r>
      <w:r>
        <w:rPr>
          <w:spacing w:val="12"/>
          <w:vertAlign w:val="baseline"/>
        </w:rPr>
        <w:t> </w:t>
      </w:r>
      <w:r>
        <w:rPr>
          <w:vertAlign w:val="baseline"/>
        </w:rPr>
        <w:t>or</w:t>
      </w:r>
      <w:r>
        <w:rPr>
          <w:spacing w:val="16"/>
          <w:vertAlign w:val="baseline"/>
        </w:rPr>
        <w:t> </w:t>
      </w:r>
      <w:r>
        <w:rPr>
          <w:vertAlign w:val="baseline"/>
        </w:rPr>
        <w:t>CO.</w:t>
      </w:r>
      <w:r>
        <w:rPr>
          <w:spacing w:val="15"/>
          <w:vertAlign w:val="baseline"/>
        </w:rPr>
        <w:t> </w:t>
      </w:r>
      <w:r>
        <w:rPr>
          <w:vertAlign w:val="baseline"/>
        </w:rPr>
        <w:t>Moore</w:t>
      </w:r>
      <w:r>
        <w:rPr>
          <w:spacing w:val="15"/>
          <w:vertAlign w:val="baseline"/>
        </w:rPr>
        <w:t> </w:t>
      </w:r>
      <w:r>
        <w:rPr>
          <w:vertAlign w:val="baseline"/>
        </w:rPr>
        <w:t>and</w:t>
      </w:r>
      <w:r>
        <w:rPr>
          <w:spacing w:val="22"/>
          <w:vertAlign w:val="baseline"/>
        </w:rPr>
        <w:t> </w:t>
      </w:r>
      <w:r>
        <w:rPr>
          <w:vertAlign w:val="baseline"/>
        </w:rPr>
        <w:t>Gibson</w:t>
      </w:r>
      <w:r>
        <w:rPr>
          <w:spacing w:val="7"/>
          <w:vertAlign w:val="baseline"/>
        </w:rPr>
        <w:t> </w:t>
      </w:r>
      <w:r>
        <w:rPr>
          <w:vertAlign w:val="baseline"/>
        </w:rPr>
        <w:t>(1976)</w:t>
      </w:r>
      <w:r>
        <w:rPr>
          <w:spacing w:val="16"/>
          <w:vertAlign w:val="baseline"/>
        </w:rPr>
        <w:t> </w:t>
      </w:r>
      <w:r>
        <w:rPr>
          <w:vertAlign w:val="baseline"/>
        </w:rPr>
        <w:t>had</w:t>
      </w:r>
      <w:r>
        <w:rPr>
          <w:spacing w:val="16"/>
          <w:vertAlign w:val="baseline"/>
        </w:rPr>
        <w:t> </w:t>
      </w:r>
      <w:r>
        <w:rPr>
          <w:vertAlign w:val="baseline"/>
        </w:rPr>
        <w:t>earlier</w:t>
      </w:r>
      <w:r>
        <w:rPr>
          <w:spacing w:val="17"/>
          <w:vertAlign w:val="baseline"/>
        </w:rPr>
        <w:t> </w:t>
      </w:r>
      <w:r>
        <w:rPr>
          <w:vertAlign w:val="baseline"/>
        </w:rPr>
        <w:t>found</w:t>
      </w:r>
      <w:r>
        <w:rPr>
          <w:spacing w:val="22"/>
          <w:vertAlign w:val="baseline"/>
        </w:rPr>
        <w:t> </w:t>
      </w:r>
      <w:r>
        <w:rPr>
          <w:vertAlign w:val="baseline"/>
        </w:rPr>
        <w:t>that</w:t>
      </w:r>
      <w:r>
        <w:rPr>
          <w:spacing w:val="19"/>
          <w:vertAlign w:val="baseline"/>
        </w:rPr>
        <w:t> </w:t>
      </w:r>
      <w:r>
        <w:rPr>
          <w:vertAlign w:val="baseline"/>
        </w:rPr>
        <w:t>CO</w:t>
      </w:r>
      <w:r>
        <w:rPr>
          <w:spacing w:val="15"/>
          <w:vertAlign w:val="baseline"/>
        </w:rPr>
        <w:t> </w:t>
      </w:r>
      <w:r>
        <w:rPr>
          <w:vertAlign w:val="baseline"/>
        </w:rPr>
        <w:t>slowly</w:t>
      </w:r>
      <w:r>
        <w:rPr>
          <w:spacing w:val="7"/>
          <w:vertAlign w:val="baseline"/>
        </w:rPr>
        <w:t> </w:t>
      </w:r>
      <w:r>
        <w:rPr>
          <w:vertAlign w:val="baseline"/>
        </w:rPr>
        <w:t>displaced</w:t>
      </w:r>
      <w:r>
        <w:rPr>
          <w:spacing w:val="22"/>
          <w:vertAlign w:val="baseline"/>
        </w:rPr>
        <w:t> </w:t>
      </w:r>
      <w:r>
        <w:rPr>
          <w:spacing w:val="-5"/>
          <w:vertAlign w:val="baseline"/>
        </w:rPr>
        <w:t>the</w:t>
      </w:r>
    </w:p>
    <w:p>
      <w:pPr>
        <w:pStyle w:val="ListParagraph"/>
        <w:numPr>
          <w:ilvl w:val="0"/>
          <w:numId w:val="19"/>
        </w:numPr>
        <w:tabs>
          <w:tab w:pos="745" w:val="left" w:leader="none"/>
        </w:tabs>
        <w:spacing w:line="491" w:lineRule="auto" w:before="3" w:after="0"/>
        <w:ind w:left="665" w:right="896" w:firstLine="0"/>
        <w:jc w:val="both"/>
        <w:rPr>
          <w:sz w:val="22"/>
        </w:rPr>
      </w:pPr>
      <w:r>
        <w:rPr>
          <w:sz w:val="22"/>
        </w:rPr>
        <w:t>NO</w:t>
      </w:r>
      <w:r>
        <w:rPr>
          <w:spacing w:val="40"/>
          <w:sz w:val="22"/>
        </w:rPr>
        <w:t> </w:t>
      </w:r>
      <w:r>
        <w:rPr>
          <w:sz w:val="22"/>
        </w:rPr>
        <w:t>from</w:t>
      </w:r>
      <w:r>
        <w:rPr>
          <w:spacing w:val="40"/>
          <w:sz w:val="22"/>
        </w:rPr>
        <w:t> </w:t>
      </w:r>
      <w:r>
        <w:rPr>
          <w:sz w:val="22"/>
        </w:rPr>
        <w:t>nitrosyl-myoglobin</w:t>
      </w:r>
      <w:r>
        <w:rPr>
          <w:spacing w:val="40"/>
          <w:sz w:val="22"/>
        </w:rPr>
        <w:t> </w:t>
      </w:r>
      <w:r>
        <w:rPr>
          <w:sz w:val="22"/>
        </w:rPr>
        <w:t>(•NO-Mb)</w:t>
      </w:r>
      <w:r>
        <w:rPr>
          <w:spacing w:val="40"/>
          <w:sz w:val="22"/>
        </w:rPr>
        <w:t> </w:t>
      </w:r>
      <w:r>
        <w:rPr>
          <w:sz w:val="22"/>
        </w:rPr>
        <w:t>or</w:t>
      </w:r>
      <w:r>
        <w:rPr>
          <w:spacing w:val="40"/>
          <w:sz w:val="22"/>
        </w:rPr>
        <w:t> </w:t>
      </w:r>
      <w:r>
        <w:rPr>
          <w:sz w:val="22"/>
        </w:rPr>
        <w:t>nitrosyl-haemoglobin</w:t>
      </w:r>
      <w:r>
        <w:rPr>
          <w:spacing w:val="40"/>
          <w:sz w:val="22"/>
        </w:rPr>
        <w:t> </w:t>
      </w:r>
      <w:r>
        <w:rPr>
          <w:sz w:val="22"/>
        </w:rPr>
        <w:t>(•NO-Hb),</w:t>
      </w:r>
      <w:r>
        <w:rPr>
          <w:spacing w:val="40"/>
          <w:sz w:val="22"/>
        </w:rPr>
        <w:t> </w:t>
      </w:r>
      <w:r>
        <w:rPr>
          <w:sz w:val="22"/>
        </w:rPr>
        <w:t>and</w:t>
      </w:r>
      <w:r>
        <w:rPr>
          <w:spacing w:val="40"/>
          <w:sz w:val="22"/>
        </w:rPr>
        <w:t> </w:t>
      </w:r>
      <w:r>
        <w:rPr>
          <w:sz w:val="22"/>
        </w:rPr>
        <w:t>that the</w:t>
      </w:r>
      <w:r>
        <w:rPr>
          <w:spacing w:val="40"/>
          <w:sz w:val="22"/>
        </w:rPr>
        <w:t> </w:t>
      </w:r>
      <w:r>
        <w:rPr>
          <w:sz w:val="22"/>
        </w:rPr>
        <w:t>displacement</w:t>
      </w:r>
      <w:r>
        <w:rPr>
          <w:spacing w:val="40"/>
          <w:sz w:val="22"/>
        </w:rPr>
        <w:t> </w:t>
      </w:r>
      <w:r>
        <w:rPr>
          <w:sz w:val="22"/>
        </w:rPr>
        <w:t>occur</w:t>
      </w:r>
      <w:r>
        <w:rPr>
          <w:spacing w:val="40"/>
          <w:sz w:val="22"/>
        </w:rPr>
        <w:t> </w:t>
      </w:r>
      <w:r>
        <w:rPr>
          <w:sz w:val="22"/>
        </w:rPr>
        <w:t>even</w:t>
      </w:r>
      <w:r>
        <w:rPr>
          <w:spacing w:val="40"/>
          <w:sz w:val="22"/>
        </w:rPr>
        <w:t> </w:t>
      </w:r>
      <w:r>
        <w:rPr>
          <w:sz w:val="22"/>
        </w:rPr>
        <w:t>in</w:t>
      </w:r>
      <w:r>
        <w:rPr>
          <w:spacing w:val="40"/>
          <w:sz w:val="22"/>
        </w:rPr>
        <w:t> </w:t>
      </w:r>
      <w:r>
        <w:rPr>
          <w:sz w:val="22"/>
        </w:rPr>
        <w:t>the</w:t>
      </w:r>
      <w:r>
        <w:rPr>
          <w:spacing w:val="40"/>
          <w:sz w:val="22"/>
        </w:rPr>
        <w:t> </w:t>
      </w:r>
      <w:r>
        <w:rPr>
          <w:sz w:val="22"/>
        </w:rPr>
        <w:t>presence</w:t>
      </w:r>
      <w:r>
        <w:rPr>
          <w:spacing w:val="40"/>
          <w:sz w:val="22"/>
        </w:rPr>
        <w:t> </w:t>
      </w:r>
      <w:r>
        <w:rPr>
          <w:sz w:val="22"/>
        </w:rPr>
        <w:t>of</w:t>
      </w:r>
      <w:r>
        <w:rPr>
          <w:spacing w:val="40"/>
          <w:sz w:val="22"/>
        </w:rPr>
        <w:t> </w:t>
      </w:r>
      <w:r>
        <w:rPr>
          <w:sz w:val="22"/>
        </w:rPr>
        <w:t>excess</w:t>
      </w:r>
      <w:r>
        <w:rPr>
          <w:spacing w:val="40"/>
          <w:sz w:val="22"/>
        </w:rPr>
        <w:t> </w:t>
      </w:r>
      <w:r>
        <w:rPr>
          <w:sz w:val="22"/>
        </w:rPr>
        <w:t>•NO-haeme</w:t>
      </w:r>
      <w:r>
        <w:rPr>
          <w:spacing w:val="40"/>
          <w:sz w:val="22"/>
        </w:rPr>
        <w:t> </w:t>
      </w:r>
      <w:r>
        <w:rPr>
          <w:sz w:val="22"/>
        </w:rPr>
        <w:t>proteins.</w:t>
      </w:r>
      <w:r>
        <w:rPr>
          <w:spacing w:val="40"/>
          <w:sz w:val="22"/>
        </w:rPr>
        <w:t> </w:t>
      </w:r>
      <w:r>
        <w:rPr>
          <w:sz w:val="22"/>
        </w:rPr>
        <w:t>The presence of CO in high concentration or substances that will combine with the •NO, like thiol speed up the rate of displacement. It is worthy to note that these conditions exist in cells exposed to environmentally relevant concentrations of CO. Though concentrations</w:t>
      </w:r>
      <w:r>
        <w:rPr>
          <w:spacing w:val="40"/>
          <w:sz w:val="22"/>
        </w:rPr>
        <w:t> </w:t>
      </w:r>
      <w:r>
        <w:rPr>
          <w:sz w:val="22"/>
        </w:rPr>
        <w:t>up to 1.070 </w:t>
      </w:r>
      <w:r>
        <w:rPr>
          <w:i/>
          <w:sz w:val="22"/>
        </w:rPr>
        <w:t>nmol </w:t>
      </w:r>
      <w:r>
        <w:rPr>
          <w:sz w:val="22"/>
        </w:rPr>
        <w:t>of CO did</w:t>
      </w:r>
      <w:r>
        <w:rPr>
          <w:spacing w:val="24"/>
          <w:sz w:val="22"/>
        </w:rPr>
        <w:t> </w:t>
      </w:r>
      <w:r>
        <w:rPr>
          <w:sz w:val="22"/>
        </w:rPr>
        <w:t>not seem to</w:t>
      </w:r>
      <w:r>
        <w:rPr>
          <w:spacing w:val="24"/>
          <w:sz w:val="22"/>
        </w:rPr>
        <w:t> </w:t>
      </w:r>
      <w:r>
        <w:rPr>
          <w:sz w:val="22"/>
        </w:rPr>
        <w:t>alter</w:t>
      </w:r>
      <w:r>
        <w:rPr>
          <w:spacing w:val="23"/>
          <w:sz w:val="22"/>
        </w:rPr>
        <w:t> </w:t>
      </w:r>
      <w:r>
        <w:rPr>
          <w:sz w:val="22"/>
        </w:rPr>
        <w:t>the rate of production of •NO by platelets and</w:t>
      </w:r>
      <w:r>
        <w:rPr>
          <w:spacing w:val="22"/>
          <w:sz w:val="22"/>
        </w:rPr>
        <w:t> </w:t>
      </w:r>
      <w:r>
        <w:rPr>
          <w:sz w:val="22"/>
        </w:rPr>
        <w:t>endothelial cells,</w:t>
      </w:r>
      <w:r>
        <w:rPr>
          <w:spacing w:val="21"/>
          <w:sz w:val="22"/>
        </w:rPr>
        <w:t> </w:t>
      </w:r>
      <w:r>
        <w:rPr>
          <w:sz w:val="22"/>
        </w:rPr>
        <w:t>yet</w:t>
      </w:r>
      <w:r>
        <w:rPr>
          <w:spacing w:val="25"/>
          <w:sz w:val="22"/>
        </w:rPr>
        <w:t> </w:t>
      </w:r>
      <w:r>
        <w:rPr>
          <w:sz w:val="22"/>
        </w:rPr>
        <w:t>liberation of •NO was enhanced (Thom</w:t>
      </w:r>
      <w:r>
        <w:rPr>
          <w:spacing w:val="21"/>
          <w:sz w:val="22"/>
        </w:rPr>
        <w:t> </w:t>
      </w:r>
      <w:r>
        <w:rPr>
          <w:i/>
          <w:sz w:val="22"/>
        </w:rPr>
        <w:t>et al</w:t>
      </w:r>
      <w:r>
        <w:rPr>
          <w:sz w:val="22"/>
        </w:rPr>
        <w:t>., 1999). Exposure to</w:t>
      </w:r>
      <w:r>
        <w:rPr>
          <w:spacing w:val="20"/>
          <w:sz w:val="22"/>
        </w:rPr>
        <w:t> </w:t>
      </w:r>
      <w:r>
        <w:rPr>
          <w:sz w:val="22"/>
        </w:rPr>
        <w:t>50</w:t>
      </w:r>
      <w:r>
        <w:rPr>
          <w:spacing w:val="22"/>
          <w:sz w:val="22"/>
        </w:rPr>
        <w:t> </w:t>
      </w:r>
      <w:r>
        <w:rPr>
          <w:sz w:val="22"/>
        </w:rPr>
        <w:t>-</w:t>
      </w:r>
      <w:r>
        <w:rPr>
          <w:spacing w:val="14"/>
          <w:sz w:val="22"/>
        </w:rPr>
        <w:t> </w:t>
      </w:r>
      <w:r>
        <w:rPr>
          <w:sz w:val="22"/>
        </w:rPr>
        <w:t>100</w:t>
      </w:r>
      <w:r>
        <w:rPr>
          <w:spacing w:val="26"/>
          <w:sz w:val="22"/>
        </w:rPr>
        <w:t> </w:t>
      </w:r>
      <w:r>
        <w:rPr>
          <w:sz w:val="22"/>
        </w:rPr>
        <w:t>ppm</w:t>
      </w:r>
      <w:r>
        <w:rPr>
          <w:spacing w:val="20"/>
          <w:sz w:val="22"/>
        </w:rPr>
        <w:t> </w:t>
      </w:r>
      <w:r>
        <w:rPr>
          <w:sz w:val="22"/>
        </w:rPr>
        <w:t>CO</w:t>
      </w:r>
      <w:r>
        <w:rPr>
          <w:spacing w:val="18"/>
          <w:sz w:val="22"/>
        </w:rPr>
        <w:t> </w:t>
      </w:r>
      <w:r>
        <w:rPr>
          <w:sz w:val="22"/>
        </w:rPr>
        <w:t>increases</w:t>
      </w:r>
      <w:r>
        <w:rPr>
          <w:spacing w:val="22"/>
          <w:sz w:val="22"/>
        </w:rPr>
        <w:t> </w:t>
      </w:r>
      <w:r>
        <w:rPr>
          <w:sz w:val="22"/>
        </w:rPr>
        <w:t>hydrogen</w:t>
      </w:r>
      <w:r>
        <w:rPr>
          <w:spacing w:val="16"/>
          <w:sz w:val="22"/>
        </w:rPr>
        <w:t> </w:t>
      </w:r>
      <w:r>
        <w:rPr>
          <w:sz w:val="22"/>
        </w:rPr>
        <w:t>peroxide</w:t>
      </w:r>
      <w:r>
        <w:rPr>
          <w:spacing w:val="19"/>
          <w:sz w:val="22"/>
        </w:rPr>
        <w:t> </w:t>
      </w:r>
      <w:r>
        <w:rPr>
          <w:sz w:val="22"/>
        </w:rPr>
        <w:t>(H</w:t>
      </w:r>
      <w:r>
        <w:rPr>
          <w:sz w:val="22"/>
          <w:vertAlign w:val="subscript"/>
        </w:rPr>
        <w:t>2</w:t>
      </w:r>
      <w:r>
        <w:rPr>
          <w:sz w:val="22"/>
          <w:vertAlign w:val="baseline"/>
        </w:rPr>
        <w:t>O</w:t>
      </w:r>
      <w:r>
        <w:rPr>
          <w:sz w:val="22"/>
          <w:vertAlign w:val="subscript"/>
        </w:rPr>
        <w:t>2</w:t>
      </w:r>
      <w:r>
        <w:rPr>
          <w:sz w:val="22"/>
          <w:vertAlign w:val="baseline"/>
        </w:rPr>
        <w:t>)</w:t>
      </w:r>
      <w:r>
        <w:rPr>
          <w:spacing w:val="20"/>
          <w:sz w:val="22"/>
          <w:vertAlign w:val="baseline"/>
        </w:rPr>
        <w:t> </w:t>
      </w:r>
      <w:r>
        <w:rPr>
          <w:sz w:val="22"/>
          <w:vertAlign w:val="baseline"/>
        </w:rPr>
        <w:t>production in</w:t>
      </w:r>
      <w:r>
        <w:rPr>
          <w:spacing w:val="16"/>
          <w:sz w:val="22"/>
          <w:vertAlign w:val="baseline"/>
        </w:rPr>
        <w:t> </w:t>
      </w:r>
      <w:r>
        <w:rPr>
          <w:sz w:val="22"/>
          <w:vertAlign w:val="baseline"/>
        </w:rPr>
        <w:t>the</w:t>
      </w:r>
      <w:r>
        <w:rPr>
          <w:spacing w:val="30"/>
          <w:sz w:val="22"/>
          <w:vertAlign w:val="baseline"/>
        </w:rPr>
        <w:t> </w:t>
      </w:r>
      <w:r>
        <w:rPr>
          <w:sz w:val="22"/>
          <w:vertAlign w:val="baseline"/>
        </w:rPr>
        <w:t>lungs</w:t>
      </w:r>
      <w:r>
        <w:rPr>
          <w:spacing w:val="17"/>
          <w:sz w:val="22"/>
          <w:vertAlign w:val="baseline"/>
        </w:rPr>
        <w:t> </w:t>
      </w:r>
      <w:r>
        <w:rPr>
          <w:sz w:val="22"/>
          <w:vertAlign w:val="baseline"/>
        </w:rPr>
        <w:t>of</w:t>
      </w:r>
      <w:r>
        <w:rPr>
          <w:spacing w:val="14"/>
          <w:sz w:val="22"/>
          <w:vertAlign w:val="baseline"/>
        </w:rPr>
        <w:t> </w:t>
      </w:r>
      <w:r>
        <w:rPr>
          <w:sz w:val="22"/>
          <w:vertAlign w:val="baseline"/>
        </w:rPr>
        <w:t>rat,</w:t>
      </w:r>
    </w:p>
    <w:p>
      <w:pPr>
        <w:spacing w:after="0" w:line="491" w:lineRule="auto"/>
        <w:jc w:val="both"/>
        <w:rPr>
          <w:sz w:val="22"/>
        </w:rPr>
        <w:sectPr>
          <w:pgSz w:w="12240" w:h="15840"/>
          <w:pgMar w:header="0" w:footer="916" w:top="1260" w:bottom="1100" w:left="1720" w:right="960"/>
        </w:sectPr>
      </w:pPr>
    </w:p>
    <w:p>
      <w:pPr>
        <w:pStyle w:val="BodyText"/>
        <w:spacing w:line="491" w:lineRule="auto" w:before="75"/>
        <w:ind w:left="665" w:right="895"/>
        <w:jc w:val="both"/>
      </w:pPr>
      <w:r>
        <w:rPr/>
        <w:t>a phenomenon which depended on •NO production (Thom </w:t>
      </w:r>
      <w:r>
        <w:rPr>
          <w:i/>
        </w:rPr>
        <w:t>et al</w:t>
      </w:r>
      <w:r>
        <w:rPr/>
        <w:t>., 1999). The possible explanation</w:t>
      </w:r>
      <w:r>
        <w:rPr>
          <w:spacing w:val="40"/>
        </w:rPr>
        <w:t> </w:t>
      </w:r>
      <w:r>
        <w:rPr/>
        <w:t>to</w:t>
      </w:r>
      <w:r>
        <w:rPr>
          <w:spacing w:val="40"/>
        </w:rPr>
        <w:t> </w:t>
      </w:r>
      <w:r>
        <w:rPr/>
        <w:t>the</w:t>
      </w:r>
      <w:r>
        <w:rPr>
          <w:spacing w:val="40"/>
        </w:rPr>
        <w:t> </w:t>
      </w:r>
      <w:r>
        <w:rPr/>
        <w:t>enhanced</w:t>
      </w:r>
      <w:r>
        <w:rPr>
          <w:spacing w:val="40"/>
        </w:rPr>
        <w:t> </w:t>
      </w:r>
      <w:r>
        <w:rPr/>
        <w:t>H</w:t>
      </w:r>
      <w:r>
        <w:rPr>
          <w:vertAlign w:val="subscript"/>
        </w:rPr>
        <w:t>2</w:t>
      </w:r>
      <w:r>
        <w:rPr>
          <w:vertAlign w:val="baseline"/>
        </w:rPr>
        <w:t>O</w:t>
      </w:r>
      <w:r>
        <w:rPr>
          <w:vertAlign w:val="subscript"/>
        </w:rPr>
        <w:t>2</w:t>
      </w:r>
      <w:r>
        <w:rPr>
          <w:spacing w:val="40"/>
          <w:vertAlign w:val="baseline"/>
        </w:rPr>
        <w:t> </w:t>
      </w:r>
      <w:r>
        <w:rPr>
          <w:vertAlign w:val="baseline"/>
        </w:rPr>
        <w:t>production</w:t>
      </w:r>
      <w:r>
        <w:rPr>
          <w:spacing w:val="40"/>
          <w:vertAlign w:val="baseline"/>
        </w:rPr>
        <w:t> </w:t>
      </w:r>
      <w:r>
        <w:rPr>
          <w:vertAlign w:val="baseline"/>
        </w:rPr>
        <w:t>is</w:t>
      </w:r>
      <w:r>
        <w:rPr>
          <w:spacing w:val="40"/>
          <w:vertAlign w:val="baseline"/>
        </w:rPr>
        <w:t> </w:t>
      </w:r>
      <w:r>
        <w:rPr>
          <w:vertAlign w:val="baseline"/>
        </w:rPr>
        <w:t>by</w:t>
      </w:r>
      <w:r>
        <w:rPr>
          <w:spacing w:val="40"/>
          <w:vertAlign w:val="baseline"/>
        </w:rPr>
        <w:t> </w:t>
      </w:r>
      <w:r>
        <w:rPr>
          <w:vertAlign w:val="baseline"/>
        </w:rPr>
        <w:t>disturbance</w:t>
      </w:r>
      <w:r>
        <w:rPr>
          <w:spacing w:val="40"/>
          <w:vertAlign w:val="baseline"/>
        </w:rPr>
        <w:t> </w:t>
      </w:r>
      <w:r>
        <w:rPr>
          <w:vertAlign w:val="baseline"/>
        </w:rPr>
        <w:t>of</w:t>
      </w:r>
      <w:r>
        <w:rPr>
          <w:spacing w:val="40"/>
          <w:vertAlign w:val="baseline"/>
        </w:rPr>
        <w:t> </w:t>
      </w:r>
      <w:r>
        <w:rPr>
          <w:vertAlign w:val="baseline"/>
        </w:rPr>
        <w:t>mitochondrial function;</w:t>
      </w:r>
      <w:r>
        <w:rPr>
          <w:spacing w:val="30"/>
          <w:vertAlign w:val="baseline"/>
        </w:rPr>
        <w:t> </w:t>
      </w:r>
      <w:r>
        <w:rPr>
          <w:vertAlign w:val="baseline"/>
        </w:rPr>
        <w:t>where</w:t>
      </w:r>
      <w:r>
        <w:rPr>
          <w:spacing w:val="21"/>
          <w:vertAlign w:val="baseline"/>
        </w:rPr>
        <w:t> </w:t>
      </w:r>
      <w:r>
        <w:rPr>
          <w:vertAlign w:val="baseline"/>
        </w:rPr>
        <w:t>peroxynitrite</w:t>
      </w:r>
      <w:r>
        <w:rPr>
          <w:spacing w:val="31"/>
          <w:vertAlign w:val="baseline"/>
        </w:rPr>
        <w:t> </w:t>
      </w:r>
      <w:r>
        <w:rPr>
          <w:vertAlign w:val="baseline"/>
        </w:rPr>
        <w:t>inhibits</w:t>
      </w:r>
      <w:r>
        <w:rPr>
          <w:spacing w:val="23"/>
          <w:vertAlign w:val="baseline"/>
        </w:rPr>
        <w:t> </w:t>
      </w:r>
      <w:r>
        <w:rPr>
          <w:vertAlign w:val="baseline"/>
        </w:rPr>
        <w:t>electron</w:t>
      </w:r>
      <w:r>
        <w:rPr>
          <w:spacing w:val="17"/>
          <w:vertAlign w:val="baseline"/>
        </w:rPr>
        <w:t> </w:t>
      </w:r>
      <w:r>
        <w:rPr>
          <w:vertAlign w:val="baseline"/>
        </w:rPr>
        <w:t>transport</w:t>
      </w:r>
      <w:r>
        <w:rPr>
          <w:spacing w:val="30"/>
          <w:vertAlign w:val="baseline"/>
        </w:rPr>
        <w:t> </w:t>
      </w:r>
      <w:r>
        <w:rPr>
          <w:vertAlign w:val="baseline"/>
        </w:rPr>
        <w:t>at</w:t>
      </w:r>
      <w:r>
        <w:rPr>
          <w:spacing w:val="30"/>
          <w:vertAlign w:val="baseline"/>
        </w:rPr>
        <w:t> </w:t>
      </w:r>
      <w:r>
        <w:rPr>
          <w:vertAlign w:val="baseline"/>
        </w:rPr>
        <w:t>complexes</w:t>
      </w:r>
      <w:r>
        <w:rPr>
          <w:spacing w:val="23"/>
          <w:vertAlign w:val="baseline"/>
        </w:rPr>
        <w:t> </w:t>
      </w:r>
      <w:r>
        <w:rPr>
          <w:vertAlign w:val="baseline"/>
        </w:rPr>
        <w:t>I</w:t>
      </w:r>
      <w:r>
        <w:rPr>
          <w:spacing w:val="22"/>
          <w:vertAlign w:val="baseline"/>
        </w:rPr>
        <w:t> </w:t>
      </w:r>
      <w:r>
        <w:rPr>
          <w:vertAlign w:val="baseline"/>
        </w:rPr>
        <w:t>through</w:t>
      </w:r>
      <w:r>
        <w:rPr>
          <w:spacing w:val="28"/>
          <w:vertAlign w:val="baseline"/>
        </w:rPr>
        <w:t> </w:t>
      </w:r>
      <w:r>
        <w:rPr>
          <w:vertAlign w:val="baseline"/>
        </w:rPr>
        <w:t>III,</w:t>
      </w:r>
      <w:r>
        <w:rPr>
          <w:spacing w:val="27"/>
          <w:vertAlign w:val="baseline"/>
        </w:rPr>
        <w:t> </w:t>
      </w:r>
      <w:r>
        <w:rPr>
          <w:vertAlign w:val="baseline"/>
        </w:rPr>
        <w:t>and a •NO targeted cytochrome oxidase (Cassina </w:t>
      </w:r>
      <w:r>
        <w:rPr>
          <w:i/>
          <w:vertAlign w:val="baseline"/>
        </w:rPr>
        <w:t>et al</w:t>
      </w:r>
      <w:r>
        <w:rPr>
          <w:vertAlign w:val="baseline"/>
        </w:rPr>
        <w:t>., 1996; Lizasoain </w:t>
      </w:r>
      <w:r>
        <w:rPr>
          <w:i/>
          <w:vertAlign w:val="baseline"/>
        </w:rPr>
        <w:t>et al</w:t>
      </w:r>
      <w:r>
        <w:rPr>
          <w:vertAlign w:val="baseline"/>
        </w:rPr>
        <w:t>., 1996; and Poderoso </w:t>
      </w:r>
      <w:r>
        <w:rPr>
          <w:i/>
          <w:vertAlign w:val="baseline"/>
        </w:rPr>
        <w:t>et al</w:t>
      </w:r>
      <w:r>
        <w:rPr>
          <w:vertAlign w:val="baseline"/>
        </w:rPr>
        <w:t>., 1996). Another possible alternative mechanism for mitochondrial dysfunction</w:t>
      </w:r>
      <w:r>
        <w:rPr>
          <w:spacing w:val="40"/>
          <w:vertAlign w:val="baseline"/>
        </w:rPr>
        <w:t> </w:t>
      </w:r>
      <w:r>
        <w:rPr>
          <w:vertAlign w:val="baseline"/>
        </w:rPr>
        <w:t>is</w:t>
      </w:r>
      <w:r>
        <w:rPr>
          <w:spacing w:val="40"/>
          <w:vertAlign w:val="baseline"/>
        </w:rPr>
        <w:t> </w:t>
      </w:r>
      <w:r>
        <w:rPr>
          <w:vertAlign w:val="baseline"/>
        </w:rPr>
        <w:t>through</w:t>
      </w:r>
      <w:r>
        <w:rPr>
          <w:spacing w:val="40"/>
          <w:vertAlign w:val="baseline"/>
        </w:rPr>
        <w:t> </w:t>
      </w:r>
      <w:r>
        <w:rPr>
          <w:vertAlign w:val="baseline"/>
        </w:rPr>
        <w:t>inhibition</w:t>
      </w:r>
      <w:r>
        <w:rPr>
          <w:spacing w:val="40"/>
          <w:vertAlign w:val="baseline"/>
        </w:rPr>
        <w:t> </w:t>
      </w:r>
      <w:r>
        <w:rPr>
          <w:vertAlign w:val="baseline"/>
        </w:rPr>
        <w:t>of</w:t>
      </w:r>
      <w:r>
        <w:rPr>
          <w:spacing w:val="40"/>
          <w:vertAlign w:val="baseline"/>
        </w:rPr>
        <w:t> </w:t>
      </w:r>
      <w:r>
        <w:rPr>
          <w:vertAlign w:val="baseline"/>
        </w:rPr>
        <w:t>antioxidant</w:t>
      </w:r>
      <w:r>
        <w:rPr>
          <w:spacing w:val="40"/>
          <w:vertAlign w:val="baseline"/>
        </w:rPr>
        <w:t> </w:t>
      </w:r>
      <w:r>
        <w:rPr>
          <w:vertAlign w:val="baseline"/>
        </w:rPr>
        <w:t>defences,</w:t>
      </w:r>
      <w:r>
        <w:rPr>
          <w:spacing w:val="40"/>
          <w:vertAlign w:val="baseline"/>
        </w:rPr>
        <w:t> </w:t>
      </w:r>
      <w:r>
        <w:rPr>
          <w:vertAlign w:val="baseline"/>
        </w:rPr>
        <w:t>where</w:t>
      </w:r>
      <w:r>
        <w:rPr>
          <w:spacing w:val="40"/>
          <w:vertAlign w:val="baseline"/>
        </w:rPr>
        <w:t> </w:t>
      </w:r>
      <w:r>
        <w:rPr>
          <w:vertAlign w:val="baseline"/>
        </w:rPr>
        <w:t>elevations</w:t>
      </w:r>
      <w:r>
        <w:rPr>
          <w:spacing w:val="40"/>
          <w:vertAlign w:val="baseline"/>
        </w:rPr>
        <w:t> </w:t>
      </w:r>
      <w:r>
        <w:rPr>
          <w:vertAlign w:val="baseline"/>
        </w:rPr>
        <w:t>in</w:t>
      </w:r>
      <w:r>
        <w:rPr>
          <w:spacing w:val="40"/>
          <w:vertAlign w:val="baseline"/>
        </w:rPr>
        <w:t> </w:t>
      </w:r>
      <w:r>
        <w:rPr>
          <w:vertAlign w:val="baseline"/>
        </w:rPr>
        <w:t>•NO could</w:t>
      </w:r>
      <w:r>
        <w:rPr>
          <w:spacing w:val="40"/>
          <w:vertAlign w:val="baseline"/>
        </w:rPr>
        <w:t> </w:t>
      </w:r>
      <w:r>
        <w:rPr>
          <w:vertAlign w:val="baseline"/>
        </w:rPr>
        <w:t>be</w:t>
      </w:r>
      <w:r>
        <w:rPr>
          <w:spacing w:val="40"/>
          <w:vertAlign w:val="baseline"/>
        </w:rPr>
        <w:t> </w:t>
      </w:r>
      <w:r>
        <w:rPr>
          <w:vertAlign w:val="baseline"/>
        </w:rPr>
        <w:t>responsible</w:t>
      </w:r>
      <w:r>
        <w:rPr>
          <w:spacing w:val="40"/>
          <w:vertAlign w:val="baseline"/>
        </w:rPr>
        <w:t> </w:t>
      </w:r>
      <w:r>
        <w:rPr>
          <w:vertAlign w:val="baseline"/>
        </w:rPr>
        <w:t>for</w:t>
      </w:r>
      <w:r>
        <w:rPr>
          <w:spacing w:val="40"/>
          <w:vertAlign w:val="baseline"/>
        </w:rPr>
        <w:t> </w:t>
      </w:r>
      <w:r>
        <w:rPr>
          <w:vertAlign w:val="baseline"/>
        </w:rPr>
        <w:t>inhibiting</w:t>
      </w:r>
      <w:r>
        <w:rPr>
          <w:spacing w:val="40"/>
          <w:vertAlign w:val="baseline"/>
        </w:rPr>
        <w:t> </w:t>
      </w:r>
      <w:r>
        <w:rPr>
          <w:vertAlign w:val="baseline"/>
        </w:rPr>
        <w:t>one</w:t>
      </w:r>
      <w:r>
        <w:rPr>
          <w:spacing w:val="40"/>
          <w:vertAlign w:val="baseline"/>
        </w:rPr>
        <w:t> </w:t>
      </w:r>
      <w:r>
        <w:rPr>
          <w:vertAlign w:val="baseline"/>
        </w:rPr>
        <w:t>or</w:t>
      </w:r>
      <w:r>
        <w:rPr>
          <w:spacing w:val="40"/>
          <w:vertAlign w:val="baseline"/>
        </w:rPr>
        <w:t> </w:t>
      </w:r>
      <w:r>
        <w:rPr>
          <w:vertAlign w:val="baseline"/>
        </w:rPr>
        <w:t>more</w:t>
      </w:r>
      <w:r>
        <w:rPr>
          <w:spacing w:val="40"/>
          <w:vertAlign w:val="baseline"/>
        </w:rPr>
        <w:t> </w:t>
      </w:r>
      <w:r>
        <w:rPr>
          <w:vertAlign w:val="baseline"/>
        </w:rPr>
        <w:t>enzymes</w:t>
      </w:r>
      <w:r>
        <w:rPr>
          <w:spacing w:val="40"/>
          <w:vertAlign w:val="baseline"/>
        </w:rPr>
        <w:t> </w:t>
      </w:r>
      <w:r>
        <w:rPr>
          <w:vertAlign w:val="baseline"/>
        </w:rPr>
        <w:t>in</w:t>
      </w:r>
      <w:r>
        <w:rPr>
          <w:spacing w:val="40"/>
          <w:vertAlign w:val="baseline"/>
        </w:rPr>
        <w:t> </w:t>
      </w:r>
      <w:r>
        <w:rPr>
          <w:vertAlign w:val="baseline"/>
        </w:rPr>
        <w:t>the</w:t>
      </w:r>
      <w:r>
        <w:rPr>
          <w:spacing w:val="40"/>
          <w:vertAlign w:val="baseline"/>
        </w:rPr>
        <w:t> </w:t>
      </w:r>
      <w:r>
        <w:rPr>
          <w:vertAlign w:val="baseline"/>
        </w:rPr>
        <w:t>electron transport cascade. Both manganese superoxide dismutase and glyceraldehyde-3-phosphate dehydrogenate can be inhibited by nitric-oxide-derived oxidants and also cause the depletion of reduced glutathione (Luperchio </w:t>
      </w:r>
      <w:r>
        <w:rPr>
          <w:i/>
          <w:vertAlign w:val="baseline"/>
        </w:rPr>
        <w:t>et al</w:t>
      </w:r>
      <w:r>
        <w:rPr>
          <w:vertAlign w:val="baseline"/>
        </w:rPr>
        <w:t>., 1996).</w:t>
      </w:r>
    </w:p>
    <w:p>
      <w:pPr>
        <w:pStyle w:val="BodyText"/>
      </w:pPr>
    </w:p>
    <w:p>
      <w:pPr>
        <w:pStyle w:val="BodyText"/>
        <w:spacing w:before="15"/>
      </w:pPr>
    </w:p>
    <w:p>
      <w:pPr>
        <w:pStyle w:val="BodyText"/>
        <w:spacing w:line="491" w:lineRule="auto"/>
        <w:ind w:left="665" w:right="893"/>
        <w:jc w:val="both"/>
      </w:pPr>
      <w:r>
        <w:rPr/>
        <w:t>Exposure to higher CO concentrations in the range of 2,500 to 10,000 ppm causes mitochondria in brain cells to generate hydroxyl-like radicals (Piantadosis </w:t>
      </w:r>
      <w:r>
        <w:rPr>
          <w:i/>
        </w:rPr>
        <w:t>et al</w:t>
      </w:r>
      <w:r>
        <w:rPr/>
        <w:t>., 1997).</w:t>
      </w:r>
      <w:r>
        <w:rPr>
          <w:spacing w:val="40"/>
        </w:rPr>
        <w:t> </w:t>
      </w:r>
      <w:r>
        <w:rPr/>
        <w:t>An</w:t>
      </w:r>
      <w:r>
        <w:rPr>
          <w:spacing w:val="31"/>
        </w:rPr>
        <w:t> </w:t>
      </w:r>
      <w:r>
        <w:rPr/>
        <w:t>additional</w:t>
      </w:r>
      <w:r>
        <w:rPr>
          <w:spacing w:val="33"/>
        </w:rPr>
        <w:t> </w:t>
      </w:r>
      <w:r>
        <w:rPr/>
        <w:t>source</w:t>
      </w:r>
      <w:r>
        <w:rPr>
          <w:spacing w:val="29"/>
        </w:rPr>
        <w:t> </w:t>
      </w:r>
      <w:r>
        <w:rPr/>
        <w:t>of partially reduced</w:t>
      </w:r>
      <w:r>
        <w:rPr>
          <w:spacing w:val="37"/>
        </w:rPr>
        <w:t> </w:t>
      </w:r>
      <w:r>
        <w:rPr/>
        <w:t>O</w:t>
      </w:r>
      <w:r>
        <w:rPr>
          <w:vertAlign w:val="subscript"/>
        </w:rPr>
        <w:t>2</w:t>
      </w:r>
      <w:r>
        <w:rPr>
          <w:spacing w:val="31"/>
          <w:vertAlign w:val="baseline"/>
        </w:rPr>
        <w:t> </w:t>
      </w:r>
      <w:r>
        <w:rPr>
          <w:vertAlign w:val="baseline"/>
        </w:rPr>
        <w:t>species</w:t>
      </w:r>
      <w:r>
        <w:rPr>
          <w:spacing w:val="32"/>
          <w:vertAlign w:val="baseline"/>
        </w:rPr>
        <w:t> </w:t>
      </w:r>
      <w:r>
        <w:rPr>
          <w:vertAlign w:val="baseline"/>
        </w:rPr>
        <w:t>found</w:t>
      </w:r>
      <w:r>
        <w:rPr>
          <w:spacing w:val="31"/>
          <w:vertAlign w:val="baseline"/>
        </w:rPr>
        <w:t> </w:t>
      </w:r>
      <w:r>
        <w:rPr>
          <w:vertAlign w:val="baseline"/>
        </w:rPr>
        <w:t>in</w:t>
      </w:r>
      <w:r>
        <w:rPr>
          <w:spacing w:val="31"/>
          <w:vertAlign w:val="baseline"/>
        </w:rPr>
        <w:t> </w:t>
      </w:r>
      <w:r>
        <w:rPr>
          <w:vertAlign w:val="baseline"/>
        </w:rPr>
        <w:t>animals exposed</w:t>
      </w:r>
      <w:r>
        <w:rPr>
          <w:spacing w:val="37"/>
          <w:vertAlign w:val="baseline"/>
        </w:rPr>
        <w:t> </w:t>
      </w:r>
      <w:r>
        <w:rPr>
          <w:vertAlign w:val="baseline"/>
        </w:rPr>
        <w:t>to</w:t>
      </w:r>
      <w:r>
        <w:rPr>
          <w:spacing w:val="31"/>
          <w:vertAlign w:val="baseline"/>
        </w:rPr>
        <w:t> </w:t>
      </w:r>
      <w:r>
        <w:rPr>
          <w:vertAlign w:val="baseline"/>
        </w:rPr>
        <w:t>high CO (approximately 3,000 ppm) is xanthine oxidase. Conversion of xanthine dehydrogenase, the enzyme normally involved with uric acid metabolism, to xanthine oxidase,</w:t>
      </w:r>
      <w:r>
        <w:rPr>
          <w:spacing w:val="40"/>
          <w:vertAlign w:val="baseline"/>
        </w:rPr>
        <w:t> </w:t>
      </w:r>
      <w:r>
        <w:rPr>
          <w:vertAlign w:val="baseline"/>
        </w:rPr>
        <w:t>the</w:t>
      </w:r>
      <w:r>
        <w:rPr>
          <w:spacing w:val="40"/>
          <w:vertAlign w:val="baseline"/>
        </w:rPr>
        <w:t> </w:t>
      </w:r>
      <w:r>
        <w:rPr>
          <w:vertAlign w:val="baseline"/>
        </w:rPr>
        <w:t>radical-producing form of</w:t>
      </w:r>
      <w:r>
        <w:rPr>
          <w:spacing w:val="40"/>
          <w:vertAlign w:val="baseline"/>
        </w:rPr>
        <w:t> </w:t>
      </w:r>
      <w:r>
        <w:rPr>
          <w:vertAlign w:val="baseline"/>
        </w:rPr>
        <w:t>the</w:t>
      </w:r>
      <w:r>
        <w:rPr>
          <w:spacing w:val="40"/>
          <w:vertAlign w:val="baseline"/>
        </w:rPr>
        <w:t> </w:t>
      </w:r>
      <w:r>
        <w:rPr>
          <w:vertAlign w:val="baseline"/>
        </w:rPr>
        <w:t>enzyme,</w:t>
      </w:r>
      <w:r>
        <w:rPr>
          <w:spacing w:val="40"/>
          <w:vertAlign w:val="baseline"/>
        </w:rPr>
        <w:t> </w:t>
      </w:r>
      <w:r>
        <w:rPr>
          <w:vertAlign w:val="baseline"/>
        </w:rPr>
        <w:t>occurred</w:t>
      </w:r>
      <w:r>
        <w:rPr>
          <w:spacing w:val="40"/>
          <w:vertAlign w:val="baseline"/>
        </w:rPr>
        <w:t> </w:t>
      </w:r>
      <w:r>
        <w:rPr>
          <w:vertAlign w:val="baseline"/>
        </w:rPr>
        <w:t>in rats’</w:t>
      </w:r>
      <w:r>
        <w:rPr>
          <w:spacing w:val="40"/>
          <w:vertAlign w:val="baseline"/>
        </w:rPr>
        <w:t> </w:t>
      </w:r>
      <w:r>
        <w:rPr>
          <w:vertAlign w:val="baseline"/>
        </w:rPr>
        <w:t>brains</w:t>
      </w:r>
      <w:r>
        <w:rPr>
          <w:spacing w:val="40"/>
          <w:vertAlign w:val="baseline"/>
        </w:rPr>
        <w:t> </w:t>
      </w:r>
      <w:r>
        <w:rPr>
          <w:vertAlign w:val="baseline"/>
        </w:rPr>
        <w:t>(Thom, 1990). Since enzyme conversion was not a primary effect of CO; and that higher CO exposure</w:t>
      </w:r>
      <w:r>
        <w:rPr>
          <w:spacing w:val="33"/>
          <w:vertAlign w:val="baseline"/>
        </w:rPr>
        <w:t> </w:t>
      </w:r>
      <w:r>
        <w:rPr>
          <w:vertAlign w:val="baseline"/>
        </w:rPr>
        <w:t>is</w:t>
      </w:r>
      <w:r>
        <w:rPr>
          <w:spacing w:val="36"/>
          <w:vertAlign w:val="baseline"/>
        </w:rPr>
        <w:t> </w:t>
      </w:r>
      <w:r>
        <w:rPr>
          <w:vertAlign w:val="baseline"/>
        </w:rPr>
        <w:t>required,</w:t>
      </w:r>
      <w:r>
        <w:rPr>
          <w:spacing w:val="34"/>
          <w:vertAlign w:val="baseline"/>
        </w:rPr>
        <w:t> </w:t>
      </w:r>
      <w:r>
        <w:rPr>
          <w:vertAlign w:val="baseline"/>
        </w:rPr>
        <w:t>xanthine</w:t>
      </w:r>
      <w:r>
        <w:rPr>
          <w:spacing w:val="33"/>
          <w:vertAlign w:val="baseline"/>
        </w:rPr>
        <w:t> </w:t>
      </w:r>
      <w:r>
        <w:rPr>
          <w:vertAlign w:val="baseline"/>
        </w:rPr>
        <w:t>radical</w:t>
      </w:r>
      <w:r>
        <w:rPr>
          <w:spacing w:val="32"/>
          <w:vertAlign w:val="baseline"/>
        </w:rPr>
        <w:t> </w:t>
      </w:r>
      <w:r>
        <w:rPr>
          <w:vertAlign w:val="baseline"/>
        </w:rPr>
        <w:t>was</w:t>
      </w:r>
      <w:r>
        <w:rPr>
          <w:spacing w:val="40"/>
          <w:vertAlign w:val="baseline"/>
        </w:rPr>
        <w:t> </w:t>
      </w:r>
      <w:r>
        <w:rPr>
          <w:vertAlign w:val="baseline"/>
        </w:rPr>
        <w:t>not</w:t>
      </w:r>
      <w:r>
        <w:rPr>
          <w:spacing w:val="37"/>
          <w:vertAlign w:val="baseline"/>
        </w:rPr>
        <w:t> </w:t>
      </w:r>
      <w:r>
        <w:rPr>
          <w:vertAlign w:val="baseline"/>
        </w:rPr>
        <w:t>considered</w:t>
      </w:r>
      <w:r>
        <w:rPr>
          <w:spacing w:val="40"/>
          <w:vertAlign w:val="baseline"/>
        </w:rPr>
        <w:t> </w:t>
      </w:r>
      <w:r>
        <w:rPr>
          <w:vertAlign w:val="baseline"/>
        </w:rPr>
        <w:t>to</w:t>
      </w:r>
      <w:r>
        <w:rPr>
          <w:spacing w:val="40"/>
          <w:vertAlign w:val="baseline"/>
        </w:rPr>
        <w:t> </w:t>
      </w:r>
      <w:r>
        <w:rPr>
          <w:vertAlign w:val="baseline"/>
        </w:rPr>
        <w:t>be</w:t>
      </w:r>
      <w:r>
        <w:rPr>
          <w:spacing w:val="38"/>
          <w:vertAlign w:val="baseline"/>
        </w:rPr>
        <w:t> </w:t>
      </w:r>
      <w:r>
        <w:rPr>
          <w:vertAlign w:val="baseline"/>
        </w:rPr>
        <w:t>the</w:t>
      </w:r>
      <w:r>
        <w:rPr>
          <w:spacing w:val="38"/>
          <w:vertAlign w:val="baseline"/>
        </w:rPr>
        <w:t> </w:t>
      </w:r>
      <w:r>
        <w:rPr>
          <w:vertAlign w:val="baseline"/>
        </w:rPr>
        <w:t>ambient</w:t>
      </w:r>
      <w:r>
        <w:rPr>
          <w:spacing w:val="37"/>
          <w:vertAlign w:val="baseline"/>
        </w:rPr>
        <w:t> </w:t>
      </w:r>
      <w:r>
        <w:rPr>
          <w:vertAlign w:val="baseline"/>
        </w:rPr>
        <w:t>source of free</w:t>
      </w:r>
      <w:r>
        <w:rPr>
          <w:spacing w:val="40"/>
          <w:vertAlign w:val="baseline"/>
        </w:rPr>
        <w:t> </w:t>
      </w:r>
      <w:r>
        <w:rPr>
          <w:vertAlign w:val="baseline"/>
        </w:rPr>
        <w:t>radicals</w:t>
      </w:r>
      <w:r>
        <w:rPr>
          <w:spacing w:val="40"/>
          <w:vertAlign w:val="baseline"/>
        </w:rPr>
        <w:t> </w:t>
      </w:r>
      <w:r>
        <w:rPr>
          <w:vertAlign w:val="baseline"/>
        </w:rPr>
        <w:t>(Thom,</w:t>
      </w:r>
      <w:r>
        <w:rPr>
          <w:spacing w:val="40"/>
          <w:vertAlign w:val="baseline"/>
        </w:rPr>
        <w:t> </w:t>
      </w:r>
      <w:r>
        <w:rPr>
          <w:vertAlign w:val="baseline"/>
        </w:rPr>
        <w:t>1990).</w:t>
      </w:r>
      <w:r>
        <w:rPr>
          <w:spacing w:val="40"/>
          <w:vertAlign w:val="baseline"/>
        </w:rPr>
        <w:t> </w:t>
      </w:r>
      <w:r>
        <w:rPr>
          <w:vertAlign w:val="baseline"/>
        </w:rPr>
        <w:t>Prenatal</w:t>
      </w:r>
      <w:r>
        <w:rPr>
          <w:spacing w:val="40"/>
          <w:vertAlign w:val="baseline"/>
        </w:rPr>
        <w:t> </w:t>
      </w:r>
      <w:r>
        <w:rPr>
          <w:vertAlign w:val="baseline"/>
        </w:rPr>
        <w:t>exposure</w:t>
      </w:r>
      <w:r>
        <w:rPr>
          <w:spacing w:val="40"/>
          <w:vertAlign w:val="baseline"/>
        </w:rPr>
        <w:t> </w:t>
      </w:r>
      <w:r>
        <w:rPr>
          <w:vertAlign w:val="baseline"/>
        </w:rPr>
        <w:t>to</w:t>
      </w:r>
      <w:r>
        <w:rPr>
          <w:spacing w:val="40"/>
          <w:vertAlign w:val="baseline"/>
        </w:rPr>
        <w:t> </w:t>
      </w:r>
      <w:r>
        <w:rPr>
          <w:vertAlign w:val="baseline"/>
        </w:rPr>
        <w:t>CO</w:t>
      </w:r>
      <w:r>
        <w:rPr>
          <w:spacing w:val="40"/>
          <w:vertAlign w:val="baseline"/>
        </w:rPr>
        <w:t> </w:t>
      </w:r>
      <w:r>
        <w:rPr>
          <w:vertAlign w:val="baseline"/>
        </w:rPr>
        <w:t>at</w:t>
      </w:r>
      <w:r>
        <w:rPr>
          <w:spacing w:val="40"/>
          <w:vertAlign w:val="baseline"/>
        </w:rPr>
        <w:t> </w:t>
      </w:r>
      <w:r>
        <w:rPr>
          <w:vertAlign w:val="baseline"/>
        </w:rPr>
        <w:t>concentrations</w:t>
      </w:r>
      <w:r>
        <w:rPr>
          <w:spacing w:val="40"/>
          <w:vertAlign w:val="baseline"/>
        </w:rPr>
        <w:t> </w:t>
      </w:r>
      <w:r>
        <w:rPr>
          <w:vertAlign w:val="baseline"/>
        </w:rPr>
        <w:t>expected</w:t>
      </w:r>
      <w:r>
        <w:rPr>
          <w:spacing w:val="40"/>
          <w:vertAlign w:val="baseline"/>
        </w:rPr>
        <w:t> </w:t>
      </w:r>
      <w:r>
        <w:rPr>
          <w:vertAlign w:val="baseline"/>
        </w:rPr>
        <w:t>in poorly ventilated</w:t>
      </w:r>
      <w:r>
        <w:rPr>
          <w:spacing w:val="35"/>
          <w:vertAlign w:val="baseline"/>
        </w:rPr>
        <w:t> </w:t>
      </w:r>
      <w:r>
        <w:rPr>
          <w:vertAlign w:val="baseline"/>
        </w:rPr>
        <w:t>environment resulted in oxidative stress and impaired development of</w:t>
      </w:r>
      <w:r>
        <w:rPr>
          <w:spacing w:val="40"/>
          <w:vertAlign w:val="baseline"/>
        </w:rPr>
        <w:t> </w:t>
      </w:r>
      <w:r>
        <w:rPr>
          <w:vertAlign w:val="baseline"/>
        </w:rPr>
        <w:t>rat cochlea (Lopez </w:t>
      </w:r>
      <w:r>
        <w:rPr>
          <w:i/>
          <w:vertAlign w:val="baseline"/>
        </w:rPr>
        <w:t>et al</w:t>
      </w:r>
      <w:r>
        <w:rPr>
          <w:vertAlign w:val="baseline"/>
        </w:rPr>
        <w:t>., 2008). Ischiropoulous </w:t>
      </w:r>
      <w:r>
        <w:rPr>
          <w:i/>
          <w:vertAlign w:val="baseline"/>
        </w:rPr>
        <w:t>et al</w:t>
      </w:r>
      <w:r>
        <w:rPr>
          <w:vertAlign w:val="baseline"/>
        </w:rPr>
        <w:t>., (1996) were able to prove that perivascular reactions mediated by peroxynitrite were important in the cascade of events which lead to brain oxidative stress in CO poisoning.</w:t>
      </w:r>
    </w:p>
    <w:p>
      <w:pPr>
        <w:spacing w:after="0" w:line="491" w:lineRule="auto"/>
        <w:jc w:val="both"/>
        <w:sectPr>
          <w:pgSz w:w="12240" w:h="15840"/>
          <w:pgMar w:header="0" w:footer="916" w:top="1260" w:bottom="1100" w:left="1720" w:right="960"/>
        </w:sectPr>
      </w:pPr>
    </w:p>
    <w:p>
      <w:pPr>
        <w:pStyle w:val="Heading2"/>
        <w:numPr>
          <w:ilvl w:val="1"/>
          <w:numId w:val="16"/>
        </w:numPr>
        <w:tabs>
          <w:tab w:pos="1009" w:val="left" w:leader="none"/>
        </w:tabs>
        <w:spacing w:line="240" w:lineRule="auto" w:before="80" w:after="0"/>
        <w:ind w:left="1009" w:right="0" w:hanging="344"/>
        <w:jc w:val="left"/>
      </w:pPr>
      <w:bookmarkStart w:name="_TOC_250034" w:id="23"/>
      <w:r>
        <w:rPr/>
        <w:t>EFFECTS</w:t>
      </w:r>
      <w:r>
        <w:rPr>
          <w:spacing w:val="13"/>
        </w:rPr>
        <w:t> </w:t>
      </w:r>
      <w:r>
        <w:rPr/>
        <w:t>OF</w:t>
      </w:r>
      <w:r>
        <w:rPr>
          <w:spacing w:val="17"/>
        </w:rPr>
        <w:t> </w:t>
      </w:r>
      <w:r>
        <w:rPr/>
        <w:t>CARBON</w:t>
      </w:r>
      <w:r>
        <w:rPr>
          <w:spacing w:val="13"/>
        </w:rPr>
        <w:t> </w:t>
      </w:r>
      <w:r>
        <w:rPr/>
        <w:t>MONOXIDE</w:t>
      </w:r>
      <w:r>
        <w:rPr>
          <w:spacing w:val="13"/>
        </w:rPr>
        <w:t> </w:t>
      </w:r>
      <w:r>
        <w:rPr/>
        <w:t>ON</w:t>
      </w:r>
      <w:r>
        <w:rPr>
          <w:spacing w:val="15"/>
        </w:rPr>
        <w:t> </w:t>
      </w:r>
      <w:r>
        <w:rPr/>
        <w:t>LEARNING</w:t>
      </w:r>
      <w:r>
        <w:rPr>
          <w:spacing w:val="18"/>
        </w:rPr>
        <w:t> </w:t>
      </w:r>
      <w:r>
        <w:rPr/>
        <w:t>AND</w:t>
      </w:r>
      <w:r>
        <w:rPr>
          <w:spacing w:val="14"/>
        </w:rPr>
        <w:t> </w:t>
      </w:r>
      <w:bookmarkEnd w:id="23"/>
      <w:r>
        <w:rPr>
          <w:spacing w:val="-2"/>
        </w:rPr>
        <w:t>MEMORY</w:t>
      </w:r>
    </w:p>
    <w:p>
      <w:pPr>
        <w:pStyle w:val="BodyText"/>
        <w:spacing w:before="7"/>
        <w:rPr>
          <w:b/>
        </w:rPr>
      </w:pPr>
    </w:p>
    <w:p>
      <w:pPr>
        <w:pStyle w:val="BodyText"/>
        <w:spacing w:line="491" w:lineRule="auto" w:before="1"/>
        <w:ind w:left="665" w:right="895"/>
        <w:jc w:val="both"/>
      </w:pPr>
      <w:r>
        <w:rPr/>
        <w:t>Recent</w:t>
      </w:r>
      <w:r>
        <w:rPr>
          <w:spacing w:val="40"/>
        </w:rPr>
        <w:t> </w:t>
      </w:r>
      <w:r>
        <w:rPr/>
        <w:t>studies</w:t>
      </w:r>
      <w:r>
        <w:rPr>
          <w:spacing w:val="40"/>
        </w:rPr>
        <w:t> </w:t>
      </w:r>
      <w:r>
        <w:rPr/>
        <w:t>have</w:t>
      </w:r>
      <w:r>
        <w:rPr>
          <w:spacing w:val="40"/>
        </w:rPr>
        <w:t> </w:t>
      </w:r>
      <w:r>
        <w:rPr/>
        <w:t>implicated</w:t>
      </w:r>
      <w:r>
        <w:rPr>
          <w:spacing w:val="40"/>
        </w:rPr>
        <w:t> </w:t>
      </w:r>
      <w:r>
        <w:rPr/>
        <w:t>the</w:t>
      </w:r>
      <w:r>
        <w:rPr>
          <w:spacing w:val="40"/>
        </w:rPr>
        <w:t> </w:t>
      </w:r>
      <w:r>
        <w:rPr/>
        <w:t>vital</w:t>
      </w:r>
      <w:r>
        <w:rPr>
          <w:spacing w:val="40"/>
        </w:rPr>
        <w:t> </w:t>
      </w:r>
      <w:r>
        <w:rPr/>
        <w:t>role</w:t>
      </w:r>
      <w:r>
        <w:rPr>
          <w:spacing w:val="40"/>
        </w:rPr>
        <w:t> </w:t>
      </w:r>
      <w:r>
        <w:rPr/>
        <w:t>played</w:t>
      </w:r>
      <w:r>
        <w:rPr>
          <w:spacing w:val="40"/>
        </w:rPr>
        <w:t> </w:t>
      </w:r>
      <w:r>
        <w:rPr/>
        <w:t>by</w:t>
      </w:r>
      <w:r>
        <w:rPr>
          <w:spacing w:val="40"/>
        </w:rPr>
        <w:t> </w:t>
      </w:r>
      <w:r>
        <w:rPr/>
        <w:t>nitric</w:t>
      </w:r>
      <w:r>
        <w:rPr>
          <w:spacing w:val="40"/>
        </w:rPr>
        <w:t> </w:t>
      </w:r>
      <w:r>
        <w:rPr/>
        <w:t>oxide</w:t>
      </w:r>
      <w:r>
        <w:rPr>
          <w:spacing w:val="40"/>
        </w:rPr>
        <w:t> </w:t>
      </w:r>
      <w:r>
        <w:rPr/>
        <w:t>in neurophysiological processes</w:t>
      </w:r>
      <w:r>
        <w:rPr>
          <w:spacing w:val="26"/>
        </w:rPr>
        <w:t> </w:t>
      </w:r>
      <w:r>
        <w:rPr/>
        <w:t>of</w:t>
      </w:r>
      <w:r>
        <w:rPr>
          <w:spacing w:val="30"/>
        </w:rPr>
        <w:t> </w:t>
      </w:r>
      <w:r>
        <w:rPr/>
        <w:t>learning</w:t>
      </w:r>
      <w:r>
        <w:rPr>
          <w:spacing w:val="26"/>
        </w:rPr>
        <w:t> </w:t>
      </w:r>
      <w:r>
        <w:rPr/>
        <w:t>and</w:t>
      </w:r>
      <w:r>
        <w:rPr>
          <w:spacing w:val="38"/>
        </w:rPr>
        <w:t> </w:t>
      </w:r>
      <w:r>
        <w:rPr/>
        <w:t>memory (Thomas</w:t>
      </w:r>
      <w:r>
        <w:rPr>
          <w:spacing w:val="29"/>
        </w:rPr>
        <w:t> </w:t>
      </w:r>
      <w:r>
        <w:rPr>
          <w:i/>
        </w:rPr>
        <w:t>et</w:t>
      </w:r>
      <w:r>
        <w:rPr>
          <w:i/>
          <w:spacing w:val="29"/>
        </w:rPr>
        <w:t> </w:t>
      </w:r>
      <w:r>
        <w:rPr>
          <w:i/>
        </w:rPr>
        <w:t>al</w:t>
      </w:r>
      <w:r>
        <w:rPr/>
        <w:t>., 2000).</w:t>
      </w:r>
      <w:r>
        <w:rPr>
          <w:spacing w:val="30"/>
        </w:rPr>
        <w:t> </w:t>
      </w:r>
      <w:r>
        <w:rPr/>
        <w:t>Inhibition of NO</w:t>
      </w:r>
      <w:r>
        <w:rPr>
          <w:spacing w:val="40"/>
        </w:rPr>
        <w:t> </w:t>
      </w:r>
      <w:r>
        <w:rPr/>
        <w:t>synthesis</w:t>
      </w:r>
      <w:r>
        <w:rPr>
          <w:spacing w:val="40"/>
        </w:rPr>
        <w:t> </w:t>
      </w:r>
      <w:r>
        <w:rPr/>
        <w:t>impaired</w:t>
      </w:r>
      <w:r>
        <w:rPr>
          <w:spacing w:val="40"/>
        </w:rPr>
        <w:t> </w:t>
      </w:r>
      <w:r>
        <w:rPr/>
        <w:t>memory in rats (Kopt</w:t>
      </w:r>
      <w:r>
        <w:rPr>
          <w:spacing w:val="40"/>
        </w:rPr>
        <w:t> </w:t>
      </w:r>
      <w:r>
        <w:rPr>
          <w:i/>
        </w:rPr>
        <w:t>et al</w:t>
      </w:r>
      <w:r>
        <w:rPr/>
        <w:t>., 2001;</w:t>
      </w:r>
      <w:r>
        <w:rPr>
          <w:spacing w:val="40"/>
        </w:rPr>
        <w:t> </w:t>
      </w:r>
      <w:r>
        <w:rPr/>
        <w:t>Reddy </w:t>
      </w:r>
      <w:r>
        <w:rPr>
          <w:i/>
        </w:rPr>
        <w:t>et</w:t>
      </w:r>
      <w:r>
        <w:rPr>
          <w:i/>
          <w:spacing w:val="40"/>
        </w:rPr>
        <w:t> </w:t>
      </w:r>
      <w:r>
        <w:rPr>
          <w:i/>
        </w:rPr>
        <w:t>al</w:t>
      </w:r>
      <w:r>
        <w:rPr/>
        <w:t>.,</w:t>
      </w:r>
      <w:r>
        <w:rPr>
          <w:spacing w:val="40"/>
        </w:rPr>
        <w:t> </w:t>
      </w:r>
      <w:r>
        <w:rPr/>
        <w:t>2002); whereas, stimulation of NO production improved cognitive functions in Alzheimer's patients (Thomas </w:t>
      </w:r>
      <w:r>
        <w:rPr>
          <w:i/>
        </w:rPr>
        <w:t>et al</w:t>
      </w:r>
      <w:r>
        <w:rPr/>
        <w:t>., 2000).</w:t>
      </w:r>
    </w:p>
    <w:p>
      <w:pPr>
        <w:pStyle w:val="BodyText"/>
      </w:pPr>
    </w:p>
    <w:p>
      <w:pPr>
        <w:pStyle w:val="BodyText"/>
        <w:spacing w:before="11"/>
      </w:pPr>
    </w:p>
    <w:p>
      <w:pPr>
        <w:pStyle w:val="BodyText"/>
        <w:spacing w:line="491" w:lineRule="auto"/>
        <w:ind w:left="665" w:right="898"/>
        <w:jc w:val="both"/>
      </w:pPr>
      <w:r>
        <w:rPr/>
        <w:t>Even though</w:t>
      </w:r>
      <w:r>
        <w:rPr>
          <w:spacing w:val="29"/>
        </w:rPr>
        <w:t> </w:t>
      </w:r>
      <w:r>
        <w:rPr/>
        <w:t>CO</w:t>
      </w:r>
      <w:r>
        <w:rPr>
          <w:spacing w:val="33"/>
        </w:rPr>
        <w:t> </w:t>
      </w:r>
      <w:r>
        <w:rPr/>
        <w:t>is</w:t>
      </w:r>
      <w:r>
        <w:rPr>
          <w:spacing w:val="31"/>
        </w:rPr>
        <w:t> </w:t>
      </w:r>
      <w:r>
        <w:rPr/>
        <w:t>toxic</w:t>
      </w:r>
      <w:r>
        <w:rPr>
          <w:spacing w:val="27"/>
        </w:rPr>
        <w:t> </w:t>
      </w:r>
      <w:r>
        <w:rPr/>
        <w:t>to</w:t>
      </w:r>
      <w:r>
        <w:rPr>
          <w:spacing w:val="29"/>
        </w:rPr>
        <w:t> </w:t>
      </w:r>
      <w:r>
        <w:rPr/>
        <w:t>cytochrome,</w:t>
      </w:r>
      <w:r>
        <w:rPr>
          <w:spacing w:val="27"/>
        </w:rPr>
        <w:t> </w:t>
      </w:r>
      <w:r>
        <w:rPr/>
        <w:t>this</w:t>
      </w:r>
      <w:r>
        <w:rPr>
          <w:spacing w:val="31"/>
        </w:rPr>
        <w:t> </w:t>
      </w:r>
      <w:r>
        <w:rPr/>
        <w:t>mechanism</w:t>
      </w:r>
      <w:r>
        <w:rPr>
          <w:spacing w:val="29"/>
        </w:rPr>
        <w:t> </w:t>
      </w:r>
      <w:r>
        <w:rPr/>
        <w:t>plays</w:t>
      </w:r>
      <w:r>
        <w:rPr>
          <w:spacing w:val="31"/>
        </w:rPr>
        <w:t> </w:t>
      </w:r>
      <w:r>
        <w:rPr/>
        <w:t>a</w:t>
      </w:r>
      <w:r>
        <w:rPr>
          <w:spacing w:val="27"/>
        </w:rPr>
        <w:t> </w:t>
      </w:r>
      <w:r>
        <w:rPr/>
        <w:t>minor</w:t>
      </w:r>
      <w:r>
        <w:rPr>
          <w:spacing w:val="28"/>
        </w:rPr>
        <w:t> </w:t>
      </w:r>
      <w:r>
        <w:rPr/>
        <w:t>role</w:t>
      </w:r>
      <w:r>
        <w:rPr>
          <w:spacing w:val="27"/>
        </w:rPr>
        <w:t> </w:t>
      </w:r>
      <w:r>
        <w:rPr/>
        <w:t>in clinical CO poisoning, since the amount of CO required to poison cytochrome is 1000 times</w:t>
      </w:r>
      <w:r>
        <w:rPr>
          <w:spacing w:val="40"/>
        </w:rPr>
        <w:t> </w:t>
      </w:r>
      <w:r>
        <w:rPr/>
        <w:t>higher</w:t>
      </w:r>
      <w:r>
        <w:rPr>
          <w:spacing w:val="32"/>
        </w:rPr>
        <w:t> </w:t>
      </w:r>
      <w:r>
        <w:rPr/>
        <w:t>than</w:t>
      </w:r>
      <w:r>
        <w:rPr>
          <w:spacing w:val="27"/>
        </w:rPr>
        <w:t> </w:t>
      </w:r>
      <w:r>
        <w:rPr/>
        <w:t>the</w:t>
      </w:r>
      <w:r>
        <w:rPr>
          <w:spacing w:val="37"/>
        </w:rPr>
        <w:t> </w:t>
      </w:r>
      <w:r>
        <w:rPr/>
        <w:t>lethal dose.</w:t>
      </w:r>
      <w:r>
        <w:rPr>
          <w:spacing w:val="31"/>
        </w:rPr>
        <w:t> </w:t>
      </w:r>
      <w:r>
        <w:rPr/>
        <w:t>Carbon monoxide-induced</w:t>
      </w:r>
      <w:r>
        <w:rPr>
          <w:spacing w:val="39"/>
        </w:rPr>
        <w:t> </w:t>
      </w:r>
      <w:r>
        <w:rPr/>
        <w:t>tissue</w:t>
      </w:r>
      <w:r>
        <w:rPr>
          <w:spacing w:val="31"/>
        </w:rPr>
        <w:t> </w:t>
      </w:r>
      <w:r>
        <w:rPr/>
        <w:t>hypoxia</w:t>
      </w:r>
      <w:r>
        <w:rPr>
          <w:spacing w:val="31"/>
        </w:rPr>
        <w:t> </w:t>
      </w:r>
      <w:r>
        <w:rPr/>
        <w:t>may be</w:t>
      </w:r>
      <w:r>
        <w:rPr>
          <w:spacing w:val="31"/>
        </w:rPr>
        <w:t> </w:t>
      </w:r>
      <w:r>
        <w:rPr/>
        <w:t>followed by re-oxygenation injury to the CNS. Hyperoxygenation facilitates the production of partially reduced O</w:t>
      </w:r>
      <w:r>
        <w:rPr>
          <w:vertAlign w:val="subscript"/>
        </w:rPr>
        <w:t>2</w:t>
      </w:r>
      <w:r>
        <w:rPr>
          <w:vertAlign w:val="baseline"/>
        </w:rPr>
        <w:t> species, which in turn can oxidize essential proteins and nucleic</w:t>
      </w:r>
      <w:r>
        <w:rPr>
          <w:spacing w:val="40"/>
          <w:vertAlign w:val="baseline"/>
        </w:rPr>
        <w:t> </w:t>
      </w:r>
      <w:r>
        <w:rPr>
          <w:vertAlign w:val="baseline"/>
        </w:rPr>
        <w:t>acids,</w:t>
      </w:r>
      <w:r>
        <w:rPr>
          <w:spacing w:val="28"/>
          <w:vertAlign w:val="baseline"/>
        </w:rPr>
        <w:t> </w:t>
      </w:r>
      <w:r>
        <w:rPr>
          <w:vertAlign w:val="baseline"/>
        </w:rPr>
        <w:t>resulting</w:t>
      </w:r>
      <w:r>
        <w:rPr>
          <w:spacing w:val="25"/>
          <w:vertAlign w:val="baseline"/>
        </w:rPr>
        <w:t> </w:t>
      </w:r>
      <w:r>
        <w:rPr>
          <w:vertAlign w:val="baseline"/>
        </w:rPr>
        <w:t>in</w:t>
      </w:r>
      <w:r>
        <w:rPr>
          <w:spacing w:val="25"/>
          <w:vertAlign w:val="baseline"/>
        </w:rPr>
        <w:t> </w:t>
      </w:r>
      <w:r>
        <w:rPr>
          <w:vertAlign w:val="baseline"/>
        </w:rPr>
        <w:t>typical</w:t>
      </w:r>
      <w:r>
        <w:rPr>
          <w:spacing w:val="27"/>
          <w:vertAlign w:val="baseline"/>
        </w:rPr>
        <w:t> </w:t>
      </w:r>
      <w:r>
        <w:rPr>
          <w:vertAlign w:val="baseline"/>
        </w:rPr>
        <w:t>reperfusion</w:t>
      </w:r>
      <w:r>
        <w:rPr>
          <w:spacing w:val="25"/>
          <w:vertAlign w:val="baseline"/>
        </w:rPr>
        <w:t> </w:t>
      </w:r>
      <w:r>
        <w:rPr>
          <w:vertAlign w:val="baseline"/>
        </w:rPr>
        <w:t>injury.</w:t>
      </w:r>
      <w:r>
        <w:rPr>
          <w:spacing w:val="28"/>
          <w:vertAlign w:val="baseline"/>
        </w:rPr>
        <w:t> </w:t>
      </w:r>
      <w:r>
        <w:rPr>
          <w:vertAlign w:val="baseline"/>
        </w:rPr>
        <w:t>In</w:t>
      </w:r>
      <w:r>
        <w:rPr>
          <w:spacing w:val="25"/>
          <w:vertAlign w:val="baseline"/>
        </w:rPr>
        <w:t> </w:t>
      </w:r>
      <w:r>
        <w:rPr>
          <w:vertAlign w:val="baseline"/>
        </w:rPr>
        <w:t>addition,</w:t>
      </w:r>
      <w:r>
        <w:rPr>
          <w:spacing w:val="28"/>
          <w:vertAlign w:val="baseline"/>
        </w:rPr>
        <w:t> </w:t>
      </w:r>
      <w:r>
        <w:rPr>
          <w:vertAlign w:val="baseline"/>
        </w:rPr>
        <w:t>CO</w:t>
      </w:r>
      <w:r>
        <w:rPr>
          <w:spacing w:val="28"/>
          <w:vertAlign w:val="baseline"/>
        </w:rPr>
        <w:t> </w:t>
      </w:r>
      <w:r>
        <w:rPr>
          <w:vertAlign w:val="baseline"/>
        </w:rPr>
        <w:t>exposure</w:t>
      </w:r>
      <w:r>
        <w:rPr>
          <w:spacing w:val="32"/>
          <w:vertAlign w:val="baseline"/>
        </w:rPr>
        <w:t> </w:t>
      </w:r>
      <w:r>
        <w:rPr>
          <w:vertAlign w:val="baseline"/>
        </w:rPr>
        <w:t>has</w:t>
      </w:r>
      <w:r>
        <w:rPr>
          <w:spacing w:val="26"/>
          <w:vertAlign w:val="baseline"/>
        </w:rPr>
        <w:t> </w:t>
      </w:r>
      <w:r>
        <w:rPr>
          <w:vertAlign w:val="baseline"/>
        </w:rPr>
        <w:t>been</w:t>
      </w:r>
      <w:r>
        <w:rPr>
          <w:spacing w:val="25"/>
          <w:vertAlign w:val="baseline"/>
        </w:rPr>
        <w:t> </w:t>
      </w:r>
      <w:r>
        <w:rPr>
          <w:vertAlign w:val="baseline"/>
        </w:rPr>
        <w:t>shown to cause lipid peroxygenation, i.e. degradation of unsaturated fatty acids leading to reversible demyelination of the CNS lipids.</w:t>
      </w:r>
    </w:p>
    <w:p>
      <w:pPr>
        <w:pStyle w:val="BodyText"/>
      </w:pPr>
    </w:p>
    <w:p>
      <w:pPr>
        <w:pStyle w:val="BodyText"/>
        <w:spacing w:before="15"/>
      </w:pPr>
    </w:p>
    <w:p>
      <w:pPr>
        <w:pStyle w:val="BodyText"/>
        <w:spacing w:line="491" w:lineRule="auto" w:before="1"/>
        <w:ind w:left="665" w:right="900"/>
        <w:jc w:val="both"/>
      </w:pPr>
      <w:r>
        <w:rPr/>
        <w:t>Disturbances in brain function predominate in acute CO intoxication. Delayed</w:t>
      </w:r>
      <w:r>
        <w:rPr>
          <w:spacing w:val="40"/>
        </w:rPr>
        <w:t> </w:t>
      </w:r>
      <w:r>
        <w:rPr/>
        <w:t>neurological effects may also occur (Choi, 2000). Brain regions showed varying</w:t>
      </w:r>
      <w:r>
        <w:rPr>
          <w:spacing w:val="40"/>
        </w:rPr>
        <w:t> </w:t>
      </w:r>
      <w:r>
        <w:rPr/>
        <w:t>sensitivity to</w:t>
      </w:r>
      <w:r>
        <w:rPr>
          <w:spacing w:val="40"/>
        </w:rPr>
        <w:t> </w:t>
      </w:r>
      <w:r>
        <w:rPr/>
        <w:t>hypoxic</w:t>
      </w:r>
      <w:r>
        <w:rPr>
          <w:spacing w:val="40"/>
        </w:rPr>
        <w:t> </w:t>
      </w:r>
      <w:r>
        <w:rPr/>
        <w:t>damage,</w:t>
      </w:r>
      <w:r>
        <w:rPr>
          <w:spacing w:val="40"/>
        </w:rPr>
        <w:t> </w:t>
      </w:r>
      <w:r>
        <w:rPr/>
        <w:t>in</w:t>
      </w:r>
      <w:r>
        <w:rPr>
          <w:spacing w:val="40"/>
        </w:rPr>
        <w:t> </w:t>
      </w:r>
      <w:r>
        <w:rPr/>
        <w:t>particular</w:t>
      </w:r>
      <w:r>
        <w:rPr>
          <w:spacing w:val="40"/>
        </w:rPr>
        <w:t> </w:t>
      </w:r>
      <w:r>
        <w:rPr/>
        <w:t>the</w:t>
      </w:r>
      <w:r>
        <w:rPr>
          <w:spacing w:val="40"/>
        </w:rPr>
        <w:t> </w:t>
      </w:r>
      <w:r>
        <w:rPr/>
        <w:t>second</w:t>
      </w:r>
      <w:r>
        <w:rPr>
          <w:spacing w:val="40"/>
        </w:rPr>
        <w:t> </w:t>
      </w:r>
      <w:r>
        <w:rPr/>
        <w:t>and</w:t>
      </w:r>
      <w:r>
        <w:rPr>
          <w:spacing w:val="40"/>
        </w:rPr>
        <w:t> </w:t>
      </w:r>
      <w:r>
        <w:rPr/>
        <w:t>third</w:t>
      </w:r>
      <w:r>
        <w:rPr>
          <w:spacing w:val="40"/>
        </w:rPr>
        <w:t> </w:t>
      </w:r>
      <w:r>
        <w:rPr/>
        <w:t>layers</w:t>
      </w:r>
      <w:r>
        <w:rPr>
          <w:spacing w:val="40"/>
        </w:rPr>
        <w:t> </w:t>
      </w:r>
      <w:r>
        <w:rPr/>
        <w:t>of</w:t>
      </w:r>
      <w:r>
        <w:rPr>
          <w:spacing w:val="40"/>
        </w:rPr>
        <w:t> </w:t>
      </w:r>
      <w:r>
        <w:rPr/>
        <w:t>cerebral cortex; the white matter, the basal nuclei, and Purkinje cells of the cerebellum. Attempts have been made to relate this “selective vulnerability” to the cause of hypoxia, but the nature and distribution of the lesions appear to depend on the severity, suddenness, and duration of the oxygen deprivation, as well as on its mechanism (hypoxia or ischaemia) rather than on the its cause.</w:t>
      </w:r>
    </w:p>
    <w:p>
      <w:pPr>
        <w:spacing w:after="0" w:line="491" w:lineRule="auto"/>
        <w:jc w:val="both"/>
        <w:sectPr>
          <w:pgSz w:w="12240" w:h="15840"/>
          <w:pgMar w:header="0" w:footer="916" w:top="1260" w:bottom="1100" w:left="1720" w:right="960"/>
        </w:sectPr>
      </w:pPr>
    </w:p>
    <w:p>
      <w:pPr>
        <w:pStyle w:val="BodyText"/>
        <w:spacing w:line="491" w:lineRule="auto" w:before="75"/>
        <w:ind w:left="665" w:right="894"/>
        <w:jc w:val="both"/>
      </w:pPr>
      <w:r>
        <w:rPr/>
        <w:t>In acute cases, petechial haemorrhages of the white matter involving in particular the </w:t>
      </w:r>
      <w:r>
        <w:rPr>
          <w:i/>
        </w:rPr>
        <w:t>corpus</w:t>
      </w:r>
      <w:r>
        <w:rPr>
          <w:i/>
          <w:spacing w:val="40"/>
        </w:rPr>
        <w:t> </w:t>
      </w:r>
      <w:r>
        <w:rPr>
          <w:i/>
        </w:rPr>
        <w:t>callosum </w:t>
      </w:r>
      <w:r>
        <w:rPr/>
        <w:t>occur;</w:t>
      </w:r>
      <w:r>
        <w:rPr>
          <w:spacing w:val="40"/>
        </w:rPr>
        <w:t> </w:t>
      </w:r>
      <w:r>
        <w:rPr/>
        <w:t>in</w:t>
      </w:r>
      <w:r>
        <w:rPr>
          <w:spacing w:val="40"/>
        </w:rPr>
        <w:t> </w:t>
      </w:r>
      <w:r>
        <w:rPr/>
        <w:t>cases</w:t>
      </w:r>
      <w:r>
        <w:rPr>
          <w:spacing w:val="40"/>
        </w:rPr>
        <w:t> </w:t>
      </w:r>
      <w:r>
        <w:rPr/>
        <w:t>surviving</w:t>
      </w:r>
      <w:r>
        <w:rPr>
          <w:spacing w:val="40"/>
        </w:rPr>
        <w:t> </w:t>
      </w:r>
      <w:r>
        <w:rPr/>
        <w:t>more</w:t>
      </w:r>
      <w:r>
        <w:rPr>
          <w:spacing w:val="40"/>
        </w:rPr>
        <w:t> </w:t>
      </w:r>
      <w:r>
        <w:rPr/>
        <w:t>than</w:t>
      </w:r>
      <w:r>
        <w:rPr>
          <w:spacing w:val="40"/>
        </w:rPr>
        <w:t> </w:t>
      </w:r>
      <w:r>
        <w:rPr/>
        <w:t>48</w:t>
      </w:r>
      <w:r>
        <w:rPr>
          <w:spacing w:val="40"/>
        </w:rPr>
        <w:t> </w:t>
      </w:r>
      <w:r>
        <w:rPr/>
        <w:t>hours,</w:t>
      </w:r>
      <w:r>
        <w:rPr>
          <w:spacing w:val="40"/>
        </w:rPr>
        <w:t> </w:t>
      </w:r>
      <w:r>
        <w:rPr/>
        <w:t>there</w:t>
      </w:r>
      <w:r>
        <w:rPr>
          <w:spacing w:val="40"/>
        </w:rPr>
        <w:t> </w:t>
      </w:r>
      <w:r>
        <w:rPr/>
        <w:t>is</w:t>
      </w:r>
      <w:r>
        <w:rPr>
          <w:spacing w:val="40"/>
        </w:rPr>
        <w:t> </w:t>
      </w:r>
      <w:r>
        <w:rPr/>
        <w:t>multifocal necrosis</w:t>
      </w:r>
      <w:r>
        <w:rPr>
          <w:spacing w:val="40"/>
        </w:rPr>
        <w:t> </w:t>
      </w:r>
      <w:r>
        <w:rPr/>
        <w:t>involving</w:t>
      </w:r>
      <w:r>
        <w:rPr>
          <w:spacing w:val="40"/>
        </w:rPr>
        <w:t> </w:t>
      </w:r>
      <w:r>
        <w:rPr>
          <w:i/>
        </w:rPr>
        <w:t>globus</w:t>
      </w:r>
      <w:r>
        <w:rPr>
          <w:i/>
          <w:spacing w:val="40"/>
        </w:rPr>
        <w:t> </w:t>
      </w:r>
      <w:r>
        <w:rPr>
          <w:i/>
        </w:rPr>
        <w:t>pallidus,</w:t>
      </w:r>
      <w:r>
        <w:rPr>
          <w:i/>
          <w:spacing w:val="40"/>
        </w:rPr>
        <w:t> </w:t>
      </w:r>
      <w:r>
        <w:rPr>
          <w:i/>
        </w:rPr>
        <w:t>hippocampus,</w:t>
      </w:r>
      <w:r>
        <w:rPr>
          <w:i/>
          <w:spacing w:val="40"/>
        </w:rPr>
        <w:t> </w:t>
      </w:r>
      <w:r>
        <w:rPr>
          <w:i/>
        </w:rPr>
        <w:t>pars</w:t>
      </w:r>
      <w:r>
        <w:rPr>
          <w:i/>
          <w:spacing w:val="40"/>
        </w:rPr>
        <w:t> </w:t>
      </w:r>
      <w:r>
        <w:rPr>
          <w:i/>
        </w:rPr>
        <w:t>reticularis</w:t>
      </w:r>
      <w:r>
        <w:rPr>
          <w:i/>
          <w:spacing w:val="40"/>
        </w:rPr>
        <w:t> </w:t>
      </w:r>
      <w:r>
        <w:rPr/>
        <w:t>of</w:t>
      </w:r>
      <w:r>
        <w:rPr>
          <w:spacing w:val="40"/>
        </w:rPr>
        <w:t> </w:t>
      </w:r>
      <w:r>
        <w:rPr/>
        <w:t>the</w:t>
      </w:r>
      <w:r>
        <w:rPr>
          <w:spacing w:val="40"/>
        </w:rPr>
        <w:t> </w:t>
      </w:r>
      <w:r>
        <w:rPr>
          <w:i/>
        </w:rPr>
        <w:t>substantia nigra</w:t>
      </w:r>
      <w:r>
        <w:rPr/>
        <w:t>, laminar necrosis of the cortex and loss of Purkinje cells in the cerebellum, along with white matter lesions. Carbon monoxide intoxication usually spears the</w:t>
      </w:r>
      <w:r>
        <w:rPr>
          <w:spacing w:val="80"/>
        </w:rPr>
        <w:t> </w:t>
      </w:r>
      <w:r>
        <w:rPr/>
        <w:t>hypothalamus, walls of the third ventricle, thalamus, striatum, and brain stem. Myelin damage was constant and involved discrete, perivascular foci in the Corpus Callosum, internal-external</w:t>
      </w:r>
      <w:r>
        <w:rPr>
          <w:spacing w:val="40"/>
        </w:rPr>
        <w:t> </w:t>
      </w:r>
      <w:r>
        <w:rPr/>
        <w:t>capsule</w:t>
      </w:r>
      <w:r>
        <w:rPr>
          <w:spacing w:val="40"/>
        </w:rPr>
        <w:t> </w:t>
      </w:r>
      <w:r>
        <w:rPr/>
        <w:t>and</w:t>
      </w:r>
      <w:r>
        <w:rPr>
          <w:spacing w:val="40"/>
        </w:rPr>
        <w:t> </w:t>
      </w:r>
      <w:r>
        <w:rPr/>
        <w:t>the</w:t>
      </w:r>
      <w:r>
        <w:rPr>
          <w:spacing w:val="40"/>
        </w:rPr>
        <w:t> </w:t>
      </w:r>
      <w:r>
        <w:rPr/>
        <w:t>optic</w:t>
      </w:r>
      <w:r>
        <w:rPr>
          <w:spacing w:val="40"/>
        </w:rPr>
        <w:t> </w:t>
      </w:r>
      <w:r>
        <w:rPr/>
        <w:t>tracts,</w:t>
      </w:r>
      <w:r>
        <w:rPr>
          <w:spacing w:val="40"/>
        </w:rPr>
        <w:t> </w:t>
      </w:r>
      <w:r>
        <w:rPr/>
        <w:t>usually</w:t>
      </w:r>
      <w:r>
        <w:rPr>
          <w:spacing w:val="40"/>
        </w:rPr>
        <w:t> </w:t>
      </w:r>
      <w:r>
        <w:rPr/>
        <w:t>seen</w:t>
      </w:r>
      <w:r>
        <w:rPr>
          <w:spacing w:val="40"/>
        </w:rPr>
        <w:t> </w:t>
      </w:r>
      <w:r>
        <w:rPr/>
        <w:t>in</w:t>
      </w:r>
      <w:r>
        <w:rPr>
          <w:spacing w:val="40"/>
        </w:rPr>
        <w:t> </w:t>
      </w:r>
      <w:r>
        <w:rPr/>
        <w:t>comatose</w:t>
      </w:r>
      <w:r>
        <w:rPr>
          <w:spacing w:val="40"/>
        </w:rPr>
        <w:t> </w:t>
      </w:r>
      <w:r>
        <w:rPr/>
        <w:t>patients</w:t>
      </w:r>
      <w:r>
        <w:rPr>
          <w:spacing w:val="40"/>
        </w:rPr>
        <w:t> </w:t>
      </w:r>
      <w:r>
        <w:rPr/>
        <w:t>who died</w:t>
      </w:r>
      <w:r>
        <w:rPr>
          <w:spacing w:val="32"/>
        </w:rPr>
        <w:t> </w:t>
      </w:r>
      <w:r>
        <w:rPr/>
        <w:t>within</w:t>
      </w:r>
      <w:r>
        <w:rPr>
          <w:spacing w:val="27"/>
        </w:rPr>
        <w:t> </w:t>
      </w:r>
      <w:r>
        <w:rPr/>
        <w:t>one week.</w:t>
      </w:r>
      <w:r>
        <w:rPr>
          <w:spacing w:val="32"/>
        </w:rPr>
        <w:t> </w:t>
      </w:r>
      <w:r>
        <w:rPr/>
        <w:t>Extensive</w:t>
      </w:r>
      <w:r>
        <w:rPr>
          <w:spacing w:val="30"/>
        </w:rPr>
        <w:t> </w:t>
      </w:r>
      <w:r>
        <w:rPr/>
        <w:t>periventricular</w:t>
      </w:r>
      <w:r>
        <w:rPr>
          <w:spacing w:val="31"/>
        </w:rPr>
        <w:t> </w:t>
      </w:r>
      <w:r>
        <w:rPr/>
        <w:t>demyelination</w:t>
      </w:r>
      <w:r>
        <w:rPr>
          <w:spacing w:val="27"/>
        </w:rPr>
        <w:t> </w:t>
      </w:r>
      <w:r>
        <w:rPr/>
        <w:t>sometimes</w:t>
      </w:r>
      <w:r>
        <w:rPr>
          <w:spacing w:val="27"/>
        </w:rPr>
        <w:t> </w:t>
      </w:r>
      <w:r>
        <w:rPr/>
        <w:t>with</w:t>
      </w:r>
      <w:r>
        <w:rPr>
          <w:spacing w:val="27"/>
        </w:rPr>
        <w:t> </w:t>
      </w:r>
      <w:r>
        <w:rPr/>
        <w:t>plaques of demyelination and axonal destruction was also observed in comatose subjects with longer</w:t>
      </w:r>
      <w:r>
        <w:rPr>
          <w:spacing w:val="40"/>
        </w:rPr>
        <w:t> </w:t>
      </w:r>
      <w:r>
        <w:rPr/>
        <w:t>survival.</w:t>
      </w:r>
      <w:r>
        <w:rPr>
          <w:spacing w:val="40"/>
        </w:rPr>
        <w:t> </w:t>
      </w:r>
      <w:r>
        <w:rPr/>
        <w:t>Responses to</w:t>
      </w:r>
      <w:r>
        <w:rPr>
          <w:spacing w:val="40"/>
        </w:rPr>
        <w:t> </w:t>
      </w:r>
      <w:r>
        <w:rPr/>
        <w:t>cellular</w:t>
      </w:r>
      <w:r>
        <w:rPr>
          <w:spacing w:val="40"/>
        </w:rPr>
        <w:t> </w:t>
      </w:r>
      <w:r>
        <w:rPr/>
        <w:t>hypoxia</w:t>
      </w:r>
      <w:r>
        <w:rPr>
          <w:spacing w:val="40"/>
        </w:rPr>
        <w:t> </w:t>
      </w:r>
      <w:r>
        <w:rPr/>
        <w:t>vary depending on the</w:t>
      </w:r>
      <w:r>
        <w:rPr>
          <w:spacing w:val="40"/>
        </w:rPr>
        <w:t> </w:t>
      </w:r>
      <w:r>
        <w:rPr/>
        <w:t>premorbid condition of victims; those with underlying heart and lung diseases will have little tolerance to even mild hypoxia. In the brain, hypoxia leads to increased intracranial pressure and cerebral oedema, which is partially responsible for decreased level of consciousness, seizure, coma and varying degrees of cognitive impairment (Prockop, 2007). The classic cherry-red discoloration of the skin and cyanosis are rarely seen (Lapresle </w:t>
      </w:r>
      <w:r>
        <w:rPr>
          <w:i/>
        </w:rPr>
        <w:t>et al.</w:t>
      </w:r>
      <w:r>
        <w:rPr/>
        <w:t>, 1967). Significant apoptotic cell death in the cortex and hippocampus occurred after</w:t>
      </w:r>
      <w:r>
        <w:rPr>
          <w:spacing w:val="32"/>
        </w:rPr>
        <w:t> </w:t>
      </w:r>
      <w:r>
        <w:rPr/>
        <w:t>rats inhaled</w:t>
      </w:r>
      <w:r>
        <w:rPr>
          <w:spacing w:val="32"/>
        </w:rPr>
        <w:t> </w:t>
      </w:r>
      <w:r>
        <w:rPr/>
        <w:t>200 or 500 ppm of CO (Clayton </w:t>
      </w:r>
      <w:r>
        <w:rPr>
          <w:i/>
        </w:rPr>
        <w:t>et al</w:t>
      </w:r>
      <w:r>
        <w:rPr/>
        <w:t>., 2001).</w:t>
      </w:r>
    </w:p>
    <w:p>
      <w:pPr>
        <w:pStyle w:val="BodyText"/>
      </w:pPr>
    </w:p>
    <w:p>
      <w:pPr>
        <w:pStyle w:val="BodyText"/>
        <w:spacing w:before="13"/>
      </w:pPr>
    </w:p>
    <w:p>
      <w:pPr>
        <w:pStyle w:val="BodyText"/>
        <w:spacing w:line="491" w:lineRule="auto" w:before="1"/>
        <w:ind w:left="665" w:right="897"/>
        <w:jc w:val="both"/>
      </w:pPr>
      <w:r>
        <w:rPr/>
        <w:t>Headache</w:t>
      </w:r>
      <w:r>
        <w:rPr>
          <w:spacing w:val="39"/>
        </w:rPr>
        <w:t> </w:t>
      </w:r>
      <w:r>
        <w:rPr/>
        <w:t>is</w:t>
      </w:r>
      <w:r>
        <w:rPr>
          <w:spacing w:val="37"/>
        </w:rPr>
        <w:t> </w:t>
      </w:r>
      <w:r>
        <w:rPr/>
        <w:t>one</w:t>
      </w:r>
      <w:r>
        <w:rPr>
          <w:spacing w:val="39"/>
        </w:rPr>
        <w:t> </w:t>
      </w:r>
      <w:r>
        <w:rPr/>
        <w:t>of</w:t>
      </w:r>
      <w:r>
        <w:rPr>
          <w:spacing w:val="36"/>
        </w:rPr>
        <w:t> </w:t>
      </w:r>
      <w:r>
        <w:rPr/>
        <w:t>the</w:t>
      </w:r>
      <w:r>
        <w:rPr>
          <w:spacing w:val="33"/>
        </w:rPr>
        <w:t> </w:t>
      </w:r>
      <w:r>
        <w:rPr/>
        <w:t>most</w:t>
      </w:r>
      <w:r>
        <w:rPr>
          <w:spacing w:val="40"/>
        </w:rPr>
        <w:t> </w:t>
      </w:r>
      <w:r>
        <w:rPr/>
        <w:t>common</w:t>
      </w:r>
      <w:r>
        <w:rPr>
          <w:spacing w:val="36"/>
        </w:rPr>
        <w:t> </w:t>
      </w:r>
      <w:r>
        <w:rPr/>
        <w:t>presenting</w:t>
      </w:r>
      <w:r>
        <w:rPr>
          <w:spacing w:val="36"/>
        </w:rPr>
        <w:t> </w:t>
      </w:r>
      <w:r>
        <w:rPr/>
        <w:t>features</w:t>
      </w:r>
      <w:r>
        <w:rPr>
          <w:spacing w:val="37"/>
        </w:rPr>
        <w:t> </w:t>
      </w:r>
      <w:r>
        <w:rPr/>
        <w:t>of</w:t>
      </w:r>
      <w:r>
        <w:rPr>
          <w:spacing w:val="34"/>
        </w:rPr>
        <w:t> </w:t>
      </w:r>
      <w:r>
        <w:rPr/>
        <w:t>CO</w:t>
      </w:r>
      <w:r>
        <w:rPr>
          <w:spacing w:val="38"/>
        </w:rPr>
        <w:t> </w:t>
      </w:r>
      <w:r>
        <w:rPr/>
        <w:t>poisoning</w:t>
      </w:r>
      <w:r>
        <w:rPr>
          <w:spacing w:val="30"/>
        </w:rPr>
        <w:t> </w:t>
      </w:r>
      <w:r>
        <w:rPr/>
        <w:t>(Handa</w:t>
      </w:r>
      <w:r>
        <w:rPr>
          <w:spacing w:val="40"/>
        </w:rPr>
        <w:t> </w:t>
      </w:r>
      <w:r>
        <w:rPr>
          <w:i/>
        </w:rPr>
        <w:t>et al</w:t>
      </w:r>
      <w:r>
        <w:rPr/>
        <w:t>., 2005). It is generally described as frontal, dull, sharp, continuous, throbbing, and intermittent in patients with mean COHb level of 21.3%. However there is no clear correlation</w:t>
      </w:r>
      <w:r>
        <w:rPr>
          <w:spacing w:val="18"/>
        </w:rPr>
        <w:t> </w:t>
      </w:r>
      <w:r>
        <w:rPr/>
        <w:t>between</w:t>
      </w:r>
      <w:r>
        <w:rPr>
          <w:spacing w:val="18"/>
        </w:rPr>
        <w:t> </w:t>
      </w:r>
      <w:r>
        <w:rPr/>
        <w:t>pain</w:t>
      </w:r>
      <w:r>
        <w:rPr>
          <w:spacing w:val="22"/>
        </w:rPr>
        <w:t> </w:t>
      </w:r>
      <w:r>
        <w:rPr/>
        <w:t>intensity</w:t>
      </w:r>
      <w:r>
        <w:rPr>
          <w:spacing w:val="18"/>
        </w:rPr>
        <w:t> </w:t>
      </w:r>
      <w:r>
        <w:rPr/>
        <w:t>and</w:t>
      </w:r>
      <w:r>
        <w:rPr>
          <w:spacing w:val="35"/>
        </w:rPr>
        <w:t> </w:t>
      </w:r>
      <w:r>
        <w:rPr/>
        <w:t>COHb</w:t>
      </w:r>
      <w:r>
        <w:rPr>
          <w:spacing w:val="29"/>
        </w:rPr>
        <w:t> </w:t>
      </w:r>
      <w:r>
        <w:rPr/>
        <w:t>levels</w:t>
      </w:r>
      <w:r>
        <w:rPr>
          <w:spacing w:val="24"/>
        </w:rPr>
        <w:t> </w:t>
      </w:r>
      <w:r>
        <w:rPr/>
        <w:t>(Hampson,</w:t>
      </w:r>
      <w:r>
        <w:rPr>
          <w:spacing w:val="30"/>
        </w:rPr>
        <w:t> </w:t>
      </w:r>
      <w:r>
        <w:rPr>
          <w:i/>
        </w:rPr>
        <w:t>et</w:t>
      </w:r>
      <w:r>
        <w:rPr>
          <w:i/>
          <w:spacing w:val="26"/>
        </w:rPr>
        <w:t> </w:t>
      </w:r>
      <w:r>
        <w:rPr>
          <w:i/>
        </w:rPr>
        <w:t>al</w:t>
      </w:r>
      <w:r>
        <w:rPr/>
        <w:t>.,</w:t>
      </w:r>
      <w:r>
        <w:rPr>
          <w:spacing w:val="21"/>
        </w:rPr>
        <w:t> </w:t>
      </w:r>
      <w:r>
        <w:rPr/>
        <w:t>1996).</w:t>
      </w:r>
      <w:r>
        <w:rPr>
          <w:spacing w:val="33"/>
        </w:rPr>
        <w:t> </w:t>
      </w:r>
      <w:r>
        <w:rPr/>
        <w:t>Headache is a frequent complaint not only with acute, but with chronic CO poisoning. Headaches, generalized</w:t>
      </w:r>
      <w:r>
        <w:rPr>
          <w:spacing w:val="52"/>
        </w:rPr>
        <w:t> </w:t>
      </w:r>
      <w:r>
        <w:rPr/>
        <w:t>weakness,</w:t>
      </w:r>
      <w:r>
        <w:rPr>
          <w:spacing w:val="56"/>
        </w:rPr>
        <w:t> </w:t>
      </w:r>
      <w:r>
        <w:rPr/>
        <w:t>fatigue</w:t>
      </w:r>
      <w:r>
        <w:rPr>
          <w:spacing w:val="46"/>
        </w:rPr>
        <w:t> </w:t>
      </w:r>
      <w:r>
        <w:rPr/>
        <w:t>and</w:t>
      </w:r>
      <w:r>
        <w:rPr>
          <w:spacing w:val="53"/>
        </w:rPr>
        <w:t> </w:t>
      </w:r>
      <w:r>
        <w:rPr/>
        <w:t>sleepiness,</w:t>
      </w:r>
      <w:r>
        <w:rPr>
          <w:spacing w:val="51"/>
        </w:rPr>
        <w:t> </w:t>
      </w:r>
      <w:r>
        <w:rPr/>
        <w:t>are</w:t>
      </w:r>
      <w:r>
        <w:rPr>
          <w:spacing w:val="45"/>
        </w:rPr>
        <w:t> </w:t>
      </w:r>
      <w:r>
        <w:rPr/>
        <w:t>part</w:t>
      </w:r>
      <w:r>
        <w:rPr>
          <w:spacing w:val="49"/>
        </w:rPr>
        <w:t> </w:t>
      </w:r>
      <w:r>
        <w:rPr/>
        <w:t>of</w:t>
      </w:r>
      <w:r>
        <w:rPr>
          <w:spacing w:val="42"/>
        </w:rPr>
        <w:t> </w:t>
      </w:r>
      <w:r>
        <w:rPr/>
        <w:t>the</w:t>
      </w:r>
      <w:r>
        <w:rPr>
          <w:spacing w:val="56"/>
        </w:rPr>
        <w:t> </w:t>
      </w:r>
      <w:r>
        <w:rPr/>
        <w:t>vague</w:t>
      </w:r>
      <w:r>
        <w:rPr>
          <w:spacing w:val="46"/>
        </w:rPr>
        <w:t> </w:t>
      </w:r>
      <w:r>
        <w:rPr>
          <w:spacing w:val="-2"/>
        </w:rPr>
        <w:t>symptomatology</w:t>
      </w:r>
    </w:p>
    <w:p>
      <w:pPr>
        <w:spacing w:after="0" w:line="491" w:lineRule="auto"/>
        <w:jc w:val="both"/>
        <w:sectPr>
          <w:pgSz w:w="12240" w:h="15840"/>
          <w:pgMar w:header="0" w:footer="916" w:top="1260" w:bottom="1100" w:left="1720" w:right="960"/>
        </w:sectPr>
      </w:pPr>
    </w:p>
    <w:p>
      <w:pPr>
        <w:pStyle w:val="BodyText"/>
        <w:spacing w:line="491" w:lineRule="auto" w:before="75"/>
        <w:ind w:left="665" w:right="898"/>
        <w:jc w:val="both"/>
      </w:pPr>
      <w:r>
        <w:rPr/>
        <w:t>observed</w:t>
      </w:r>
      <w:r>
        <w:rPr>
          <w:spacing w:val="33"/>
        </w:rPr>
        <w:t> </w:t>
      </w:r>
      <w:r>
        <w:rPr/>
        <w:t>in</w:t>
      </w:r>
      <w:r>
        <w:rPr>
          <w:spacing w:val="21"/>
        </w:rPr>
        <w:t> </w:t>
      </w:r>
      <w:r>
        <w:rPr/>
        <w:t>subjects</w:t>
      </w:r>
      <w:r>
        <w:rPr>
          <w:spacing w:val="28"/>
        </w:rPr>
        <w:t> </w:t>
      </w:r>
      <w:r>
        <w:rPr/>
        <w:t>with</w:t>
      </w:r>
      <w:r>
        <w:rPr>
          <w:spacing w:val="21"/>
        </w:rPr>
        <w:t> </w:t>
      </w:r>
      <w:r>
        <w:rPr/>
        <w:t>COHb</w:t>
      </w:r>
      <w:r>
        <w:rPr>
          <w:spacing w:val="33"/>
        </w:rPr>
        <w:t> </w:t>
      </w:r>
      <w:r>
        <w:rPr/>
        <w:t>levels</w:t>
      </w:r>
      <w:r>
        <w:rPr>
          <w:spacing w:val="28"/>
        </w:rPr>
        <w:t> </w:t>
      </w:r>
      <w:r>
        <w:rPr/>
        <w:t>below</w:t>
      </w:r>
      <w:r>
        <w:rPr>
          <w:spacing w:val="24"/>
        </w:rPr>
        <w:t> </w:t>
      </w:r>
      <w:r>
        <w:rPr/>
        <w:t>20%.</w:t>
      </w:r>
      <w:r>
        <w:rPr>
          <w:spacing w:val="30"/>
        </w:rPr>
        <w:t> </w:t>
      </w:r>
      <w:r>
        <w:rPr/>
        <w:t>Dizziness</w:t>
      </w:r>
      <w:r>
        <w:rPr>
          <w:spacing w:val="28"/>
        </w:rPr>
        <w:t> </w:t>
      </w:r>
      <w:r>
        <w:rPr/>
        <w:t>is</w:t>
      </w:r>
      <w:r>
        <w:rPr>
          <w:spacing w:val="28"/>
        </w:rPr>
        <w:t> </w:t>
      </w:r>
      <w:r>
        <w:rPr/>
        <w:t>a</w:t>
      </w:r>
      <w:r>
        <w:rPr>
          <w:spacing w:val="30"/>
        </w:rPr>
        <w:t> </w:t>
      </w:r>
      <w:r>
        <w:rPr/>
        <w:t>frequent</w:t>
      </w:r>
      <w:r>
        <w:rPr>
          <w:spacing w:val="29"/>
        </w:rPr>
        <w:t> </w:t>
      </w:r>
      <w:r>
        <w:rPr/>
        <w:t>companion of headache</w:t>
      </w:r>
      <w:r>
        <w:rPr>
          <w:spacing w:val="31"/>
        </w:rPr>
        <w:t> </w:t>
      </w:r>
      <w:r>
        <w:rPr/>
        <w:t>and</w:t>
      </w:r>
      <w:r>
        <w:rPr>
          <w:spacing w:val="33"/>
        </w:rPr>
        <w:t> </w:t>
      </w:r>
      <w:r>
        <w:rPr/>
        <w:t>can be</w:t>
      </w:r>
      <w:r>
        <w:rPr>
          <w:spacing w:val="31"/>
        </w:rPr>
        <w:t> </w:t>
      </w:r>
      <w:r>
        <w:rPr/>
        <w:t>seen</w:t>
      </w:r>
      <w:r>
        <w:rPr>
          <w:spacing w:val="33"/>
        </w:rPr>
        <w:t> </w:t>
      </w:r>
      <w:r>
        <w:rPr/>
        <w:t>in about 92% of victims of CO</w:t>
      </w:r>
      <w:r>
        <w:rPr>
          <w:spacing w:val="31"/>
        </w:rPr>
        <w:t> </w:t>
      </w:r>
      <w:r>
        <w:rPr/>
        <w:t>poisoning.</w:t>
      </w:r>
      <w:r>
        <w:rPr>
          <w:spacing w:val="37"/>
        </w:rPr>
        <w:t> </w:t>
      </w:r>
      <w:r>
        <w:rPr/>
        <w:t>In one</w:t>
      </w:r>
      <w:r>
        <w:rPr>
          <w:spacing w:val="31"/>
        </w:rPr>
        <w:t> </w:t>
      </w:r>
      <w:r>
        <w:rPr/>
        <w:t>report, 76% of the 38 victims reported weakness with COHb levels greater than 30 - 40% (Abelsohn </w:t>
      </w:r>
      <w:r>
        <w:rPr>
          <w:i/>
        </w:rPr>
        <w:t>et al</w:t>
      </w:r>
      <w:r>
        <w:rPr/>
        <w:t>., 2002).</w:t>
      </w:r>
    </w:p>
    <w:p>
      <w:pPr>
        <w:pStyle w:val="BodyText"/>
      </w:pPr>
    </w:p>
    <w:p>
      <w:pPr>
        <w:pStyle w:val="BodyText"/>
        <w:spacing w:before="12"/>
      </w:pPr>
    </w:p>
    <w:p>
      <w:pPr>
        <w:pStyle w:val="BodyText"/>
        <w:spacing w:line="491" w:lineRule="auto"/>
        <w:ind w:left="665" w:right="897"/>
        <w:jc w:val="both"/>
      </w:pPr>
      <w:r>
        <w:rPr/>
        <w:t>A</w:t>
      </w:r>
      <w:r>
        <w:rPr>
          <w:spacing w:val="40"/>
        </w:rPr>
        <w:t> </w:t>
      </w:r>
      <w:r>
        <w:rPr/>
        <w:t>delayed</w:t>
      </w:r>
      <w:r>
        <w:rPr>
          <w:spacing w:val="40"/>
        </w:rPr>
        <w:t> </w:t>
      </w:r>
      <w:r>
        <w:rPr/>
        <w:t>neuropsychiatric</w:t>
      </w:r>
      <w:r>
        <w:rPr>
          <w:spacing w:val="40"/>
        </w:rPr>
        <w:t> </w:t>
      </w:r>
      <w:r>
        <w:rPr/>
        <w:t>syndrome</w:t>
      </w:r>
      <w:r>
        <w:rPr>
          <w:spacing w:val="40"/>
        </w:rPr>
        <w:t> </w:t>
      </w:r>
      <w:r>
        <w:rPr/>
        <w:t>may</w:t>
      </w:r>
      <w:r>
        <w:rPr>
          <w:spacing w:val="39"/>
        </w:rPr>
        <w:t> </w:t>
      </w:r>
      <w:r>
        <w:rPr/>
        <w:t>occur</w:t>
      </w:r>
      <w:r>
        <w:rPr>
          <w:spacing w:val="40"/>
        </w:rPr>
        <w:t> </w:t>
      </w:r>
      <w:r>
        <w:rPr/>
        <w:t>in</w:t>
      </w:r>
      <w:r>
        <w:rPr>
          <w:spacing w:val="39"/>
        </w:rPr>
        <w:t> </w:t>
      </w:r>
      <w:r>
        <w:rPr/>
        <w:t>patients</w:t>
      </w:r>
      <w:r>
        <w:rPr>
          <w:spacing w:val="40"/>
        </w:rPr>
        <w:t> </w:t>
      </w:r>
      <w:r>
        <w:rPr/>
        <w:t>from</w:t>
      </w:r>
      <w:r>
        <w:rPr>
          <w:spacing w:val="40"/>
        </w:rPr>
        <w:t> </w:t>
      </w:r>
      <w:r>
        <w:rPr/>
        <w:t>3</w:t>
      </w:r>
      <w:r>
        <w:rPr>
          <w:spacing w:val="40"/>
        </w:rPr>
        <w:t> </w:t>
      </w:r>
      <w:r>
        <w:rPr/>
        <w:t>-</w:t>
      </w:r>
      <w:r>
        <w:rPr>
          <w:spacing w:val="40"/>
        </w:rPr>
        <w:t> </w:t>
      </w:r>
      <w:r>
        <w:rPr/>
        <w:t>240</w:t>
      </w:r>
      <w:r>
        <w:rPr>
          <w:spacing w:val="40"/>
        </w:rPr>
        <w:t> </w:t>
      </w:r>
      <w:r>
        <w:rPr/>
        <w:t>days</w:t>
      </w:r>
      <w:r>
        <w:rPr>
          <w:spacing w:val="40"/>
        </w:rPr>
        <w:t> </w:t>
      </w:r>
      <w:r>
        <w:rPr/>
        <w:t>after acute CO exposure. Even those victims without neurological and psychiatric symptoms immediately</w:t>
      </w:r>
      <w:r>
        <w:rPr>
          <w:spacing w:val="40"/>
        </w:rPr>
        <w:t> </w:t>
      </w:r>
      <w:r>
        <w:rPr/>
        <w:t>after</w:t>
      </w:r>
      <w:r>
        <w:rPr>
          <w:spacing w:val="40"/>
        </w:rPr>
        <w:t> </w:t>
      </w:r>
      <w:r>
        <w:rPr/>
        <w:t>an</w:t>
      </w:r>
      <w:r>
        <w:rPr>
          <w:spacing w:val="40"/>
        </w:rPr>
        <w:t> </w:t>
      </w:r>
      <w:r>
        <w:rPr/>
        <w:t>exposure</w:t>
      </w:r>
      <w:r>
        <w:rPr>
          <w:spacing w:val="40"/>
        </w:rPr>
        <w:t> </w:t>
      </w:r>
      <w:r>
        <w:rPr/>
        <w:t>accident</w:t>
      </w:r>
      <w:r>
        <w:rPr>
          <w:spacing w:val="40"/>
        </w:rPr>
        <w:t> </w:t>
      </w:r>
      <w:r>
        <w:rPr/>
        <w:t>may</w:t>
      </w:r>
      <w:r>
        <w:rPr>
          <w:spacing w:val="40"/>
        </w:rPr>
        <w:t> </w:t>
      </w:r>
      <w:r>
        <w:rPr/>
        <w:t>demonstrate</w:t>
      </w:r>
      <w:r>
        <w:rPr>
          <w:spacing w:val="40"/>
        </w:rPr>
        <w:t> </w:t>
      </w:r>
      <w:r>
        <w:rPr/>
        <w:t>features</w:t>
      </w:r>
      <w:r>
        <w:rPr>
          <w:spacing w:val="40"/>
        </w:rPr>
        <w:t> </w:t>
      </w:r>
      <w:r>
        <w:rPr/>
        <w:t>of</w:t>
      </w:r>
      <w:r>
        <w:rPr>
          <w:spacing w:val="40"/>
        </w:rPr>
        <w:t> </w:t>
      </w:r>
      <w:r>
        <w:rPr/>
        <w:t>delayed impairment ranging from subtle abnormalities such as personality changes or mild cognitive deficit to severe dementia, psychosis, Parkinsonism, incontinence or others (Mimura, </w:t>
      </w:r>
      <w:r>
        <w:rPr>
          <w:i/>
        </w:rPr>
        <w:t>et al</w:t>
      </w:r>
      <w:r>
        <w:rPr/>
        <w:t>., 1999; Choi, 2000).</w:t>
      </w:r>
    </w:p>
    <w:p>
      <w:pPr>
        <w:pStyle w:val="BodyText"/>
      </w:pPr>
    </w:p>
    <w:p>
      <w:pPr>
        <w:pStyle w:val="BodyText"/>
        <w:spacing w:before="16"/>
      </w:pPr>
    </w:p>
    <w:p>
      <w:pPr>
        <w:pStyle w:val="BodyText"/>
        <w:spacing w:line="491" w:lineRule="auto"/>
        <w:ind w:left="665" w:right="900"/>
        <w:jc w:val="both"/>
      </w:pPr>
      <w:r>
        <w:rPr/>
        <w:t>Carbon monoxide encephalopathy may cause a number of behavioural functional impairments,</w:t>
      </w:r>
      <w:r>
        <w:rPr>
          <w:spacing w:val="40"/>
        </w:rPr>
        <w:t> </w:t>
      </w:r>
      <w:r>
        <w:rPr/>
        <w:t>including</w:t>
      </w:r>
      <w:r>
        <w:rPr>
          <w:spacing w:val="40"/>
        </w:rPr>
        <w:t> </w:t>
      </w:r>
      <w:r>
        <w:rPr/>
        <w:t>alterations</w:t>
      </w:r>
      <w:r>
        <w:rPr>
          <w:spacing w:val="40"/>
        </w:rPr>
        <w:t> </w:t>
      </w:r>
      <w:r>
        <w:rPr/>
        <w:t>in</w:t>
      </w:r>
      <w:r>
        <w:rPr>
          <w:spacing w:val="40"/>
        </w:rPr>
        <w:t> </w:t>
      </w:r>
      <w:r>
        <w:rPr/>
        <w:t>attention,</w:t>
      </w:r>
      <w:r>
        <w:rPr>
          <w:spacing w:val="40"/>
        </w:rPr>
        <w:t> </w:t>
      </w:r>
      <w:r>
        <w:rPr/>
        <w:t>executive</w:t>
      </w:r>
      <w:r>
        <w:rPr>
          <w:spacing w:val="40"/>
        </w:rPr>
        <w:t> </w:t>
      </w:r>
      <w:r>
        <w:rPr/>
        <w:t>function,</w:t>
      </w:r>
      <w:r>
        <w:rPr>
          <w:spacing w:val="40"/>
        </w:rPr>
        <w:t> </w:t>
      </w:r>
      <w:r>
        <w:rPr/>
        <w:t>verbal</w:t>
      </w:r>
      <w:r>
        <w:rPr>
          <w:spacing w:val="40"/>
        </w:rPr>
        <w:t> </w:t>
      </w:r>
      <w:r>
        <w:rPr/>
        <w:t>fluency, motor abilities, visuospacial skills, learning, short-term memory, and mood and social adjustment. Formal neuropsychological testing usually confirms these impairments (White, </w:t>
      </w:r>
      <w:r>
        <w:rPr>
          <w:i/>
        </w:rPr>
        <w:t>et al</w:t>
      </w:r>
      <w:r>
        <w:rPr/>
        <w:t>., 1992). The expert Panel on Air Quality Standards of World Health Organization (WHO) in 1994 reported that COHb levels between 2 - 20% can cause effects on visual perception levels, audition, motor, and sensory-motor functions.</w:t>
      </w:r>
    </w:p>
    <w:p>
      <w:pPr>
        <w:pStyle w:val="BodyText"/>
      </w:pPr>
    </w:p>
    <w:p>
      <w:pPr>
        <w:pStyle w:val="BodyText"/>
        <w:spacing w:before="15"/>
      </w:pPr>
    </w:p>
    <w:p>
      <w:pPr>
        <w:pStyle w:val="BodyText"/>
        <w:spacing w:line="491" w:lineRule="auto" w:before="1"/>
        <w:ind w:left="665" w:right="897"/>
        <w:jc w:val="both"/>
      </w:pPr>
      <w:r>
        <w:rPr/>
        <w:t>According</w:t>
      </w:r>
      <w:r>
        <w:rPr>
          <w:spacing w:val="29"/>
        </w:rPr>
        <w:t> </w:t>
      </w:r>
      <w:r>
        <w:rPr/>
        <w:t>to</w:t>
      </w:r>
      <w:r>
        <w:rPr>
          <w:spacing w:val="34"/>
        </w:rPr>
        <w:t> </w:t>
      </w:r>
      <w:r>
        <w:rPr/>
        <w:t>WHO</w:t>
      </w:r>
      <w:r>
        <w:rPr>
          <w:spacing w:val="36"/>
        </w:rPr>
        <w:t> </w:t>
      </w:r>
      <w:r>
        <w:rPr/>
        <w:t>guidelines,</w:t>
      </w:r>
      <w:r>
        <w:rPr>
          <w:spacing w:val="32"/>
        </w:rPr>
        <w:t> </w:t>
      </w:r>
      <w:r>
        <w:rPr/>
        <w:t>exposures</w:t>
      </w:r>
      <w:r>
        <w:rPr>
          <w:spacing w:val="30"/>
        </w:rPr>
        <w:t> </w:t>
      </w:r>
      <w:r>
        <w:rPr/>
        <w:t>to</w:t>
      </w:r>
      <w:r>
        <w:rPr>
          <w:spacing w:val="34"/>
        </w:rPr>
        <w:t> </w:t>
      </w:r>
      <w:r>
        <w:rPr/>
        <w:t>levels</w:t>
      </w:r>
      <w:r>
        <w:rPr>
          <w:spacing w:val="30"/>
        </w:rPr>
        <w:t> </w:t>
      </w:r>
      <w:r>
        <w:rPr/>
        <w:t>of</w:t>
      </w:r>
      <w:r>
        <w:rPr>
          <w:spacing w:val="27"/>
        </w:rPr>
        <w:t> </w:t>
      </w:r>
      <w:r>
        <w:rPr/>
        <w:t>ambient</w:t>
      </w:r>
      <w:r>
        <w:rPr>
          <w:spacing w:val="31"/>
        </w:rPr>
        <w:t> </w:t>
      </w:r>
      <w:r>
        <w:rPr/>
        <w:t>air</w:t>
      </w:r>
      <w:r>
        <w:rPr>
          <w:spacing w:val="33"/>
        </w:rPr>
        <w:t> </w:t>
      </w:r>
      <w:r>
        <w:rPr/>
        <w:t>CO</w:t>
      </w:r>
      <w:r>
        <w:rPr>
          <w:spacing w:val="32"/>
        </w:rPr>
        <w:t> </w:t>
      </w:r>
      <w:r>
        <w:rPr/>
        <w:t>should</w:t>
      </w:r>
      <w:r>
        <w:rPr>
          <w:spacing w:val="34"/>
        </w:rPr>
        <w:t> </w:t>
      </w:r>
      <w:r>
        <w:rPr/>
        <w:t>conform to the following durations of exposure: 87.1 ppm (100 mg/m</w:t>
      </w:r>
      <w:r>
        <w:rPr>
          <w:vertAlign w:val="superscript"/>
        </w:rPr>
        <w:t>3</w:t>
      </w:r>
      <w:r>
        <w:rPr>
          <w:vertAlign w:val="baseline"/>
        </w:rPr>
        <w:t>) for 15 minutes; 52.3 ppm (60</w:t>
      </w:r>
      <w:r>
        <w:rPr>
          <w:spacing w:val="27"/>
          <w:vertAlign w:val="baseline"/>
        </w:rPr>
        <w:t> </w:t>
      </w:r>
      <w:r>
        <w:rPr>
          <w:vertAlign w:val="baseline"/>
        </w:rPr>
        <w:t>mg/m</w:t>
      </w:r>
      <w:r>
        <w:rPr>
          <w:vertAlign w:val="superscript"/>
        </w:rPr>
        <w:t>3</w:t>
      </w:r>
      <w:r>
        <w:rPr>
          <w:vertAlign w:val="baseline"/>
        </w:rPr>
        <w:t>)</w:t>
      </w:r>
      <w:r>
        <w:rPr>
          <w:spacing w:val="31"/>
          <w:vertAlign w:val="baseline"/>
        </w:rPr>
        <w:t> </w:t>
      </w:r>
      <w:r>
        <w:rPr>
          <w:vertAlign w:val="baseline"/>
        </w:rPr>
        <w:t>for</w:t>
      </w:r>
      <w:r>
        <w:rPr>
          <w:spacing w:val="25"/>
          <w:vertAlign w:val="baseline"/>
        </w:rPr>
        <w:t> </w:t>
      </w:r>
      <w:r>
        <w:rPr>
          <w:vertAlign w:val="baseline"/>
        </w:rPr>
        <w:t>30</w:t>
      </w:r>
      <w:r>
        <w:rPr>
          <w:spacing w:val="36"/>
          <w:vertAlign w:val="baseline"/>
        </w:rPr>
        <w:t> </w:t>
      </w:r>
      <w:r>
        <w:rPr>
          <w:vertAlign w:val="baseline"/>
        </w:rPr>
        <w:t>min;</w:t>
      </w:r>
      <w:r>
        <w:rPr>
          <w:spacing w:val="29"/>
          <w:vertAlign w:val="baseline"/>
        </w:rPr>
        <w:t> </w:t>
      </w:r>
      <w:r>
        <w:rPr>
          <w:vertAlign w:val="baseline"/>
        </w:rPr>
        <w:t>26.1</w:t>
      </w:r>
      <w:r>
        <w:rPr>
          <w:spacing w:val="32"/>
          <w:vertAlign w:val="baseline"/>
        </w:rPr>
        <w:t> </w:t>
      </w:r>
      <w:r>
        <w:rPr>
          <w:vertAlign w:val="baseline"/>
        </w:rPr>
        <w:t>ppm</w:t>
      </w:r>
      <w:r>
        <w:rPr>
          <w:spacing w:val="27"/>
          <w:vertAlign w:val="baseline"/>
        </w:rPr>
        <w:t> </w:t>
      </w:r>
      <w:r>
        <w:rPr>
          <w:vertAlign w:val="baseline"/>
        </w:rPr>
        <w:t>(30</w:t>
      </w:r>
      <w:r>
        <w:rPr>
          <w:spacing w:val="32"/>
          <w:vertAlign w:val="baseline"/>
        </w:rPr>
        <w:t> </w:t>
      </w:r>
      <w:r>
        <w:rPr>
          <w:vertAlign w:val="baseline"/>
        </w:rPr>
        <w:t>mg/m</w:t>
      </w:r>
      <w:r>
        <w:rPr>
          <w:vertAlign w:val="superscript"/>
        </w:rPr>
        <w:t>3</w:t>
      </w:r>
      <w:r>
        <w:rPr>
          <w:vertAlign w:val="baseline"/>
        </w:rPr>
        <w:t>)</w:t>
      </w:r>
      <w:r>
        <w:rPr>
          <w:spacing w:val="25"/>
          <w:vertAlign w:val="baseline"/>
        </w:rPr>
        <w:t> </w:t>
      </w:r>
      <w:r>
        <w:rPr>
          <w:vertAlign w:val="baseline"/>
        </w:rPr>
        <w:t>for</w:t>
      </w:r>
      <w:r>
        <w:rPr>
          <w:spacing w:val="25"/>
          <w:vertAlign w:val="baseline"/>
        </w:rPr>
        <w:t> </w:t>
      </w:r>
      <w:r>
        <w:rPr>
          <w:vertAlign w:val="baseline"/>
        </w:rPr>
        <w:t>60</w:t>
      </w:r>
      <w:r>
        <w:rPr>
          <w:spacing w:val="27"/>
          <w:vertAlign w:val="baseline"/>
        </w:rPr>
        <w:t> </w:t>
      </w:r>
      <w:r>
        <w:rPr>
          <w:vertAlign w:val="baseline"/>
        </w:rPr>
        <w:t>min;</w:t>
      </w:r>
      <w:r>
        <w:rPr>
          <w:spacing w:val="34"/>
          <w:vertAlign w:val="baseline"/>
        </w:rPr>
        <w:t> </w:t>
      </w:r>
      <w:r>
        <w:rPr>
          <w:vertAlign w:val="baseline"/>
        </w:rPr>
        <w:t>8.7</w:t>
      </w:r>
      <w:r>
        <w:rPr>
          <w:spacing w:val="27"/>
          <w:vertAlign w:val="baseline"/>
        </w:rPr>
        <w:t> </w:t>
      </w:r>
      <w:r>
        <w:rPr>
          <w:vertAlign w:val="baseline"/>
        </w:rPr>
        <w:t>ppm</w:t>
      </w:r>
      <w:r>
        <w:rPr>
          <w:spacing w:val="27"/>
          <w:vertAlign w:val="baseline"/>
        </w:rPr>
        <w:t> </w:t>
      </w:r>
      <w:r>
        <w:rPr>
          <w:vertAlign w:val="baseline"/>
        </w:rPr>
        <w:t>(10</w:t>
      </w:r>
      <w:r>
        <w:rPr>
          <w:spacing w:val="27"/>
          <w:vertAlign w:val="baseline"/>
        </w:rPr>
        <w:t> </w:t>
      </w:r>
      <w:r>
        <w:rPr>
          <w:vertAlign w:val="baseline"/>
        </w:rPr>
        <w:t>mg/m</w:t>
      </w:r>
      <w:r>
        <w:rPr>
          <w:vertAlign w:val="superscript"/>
        </w:rPr>
        <w:t>3</w:t>
      </w:r>
      <w:r>
        <w:rPr>
          <w:vertAlign w:val="baseline"/>
        </w:rPr>
        <w:t>)</w:t>
      </w:r>
      <w:r>
        <w:rPr>
          <w:spacing w:val="31"/>
          <w:vertAlign w:val="baseline"/>
        </w:rPr>
        <w:t> </w:t>
      </w:r>
      <w:r>
        <w:rPr>
          <w:vertAlign w:val="baseline"/>
        </w:rPr>
        <w:t>for</w:t>
      </w:r>
      <w:r>
        <w:rPr>
          <w:spacing w:val="25"/>
          <w:vertAlign w:val="baseline"/>
        </w:rPr>
        <w:t> </w:t>
      </w:r>
      <w:r>
        <w:rPr>
          <w:vertAlign w:val="baseline"/>
        </w:rPr>
        <w:t>80 min</w:t>
      </w:r>
      <w:r>
        <w:rPr>
          <w:spacing w:val="33"/>
          <w:vertAlign w:val="baseline"/>
        </w:rPr>
        <w:t> </w:t>
      </w:r>
      <w:r>
        <w:rPr>
          <w:vertAlign w:val="baseline"/>
        </w:rPr>
        <w:t>(United</w:t>
      </w:r>
      <w:r>
        <w:rPr>
          <w:spacing w:val="40"/>
          <w:vertAlign w:val="baseline"/>
        </w:rPr>
        <w:t> </w:t>
      </w:r>
      <w:r>
        <w:rPr>
          <w:vertAlign w:val="baseline"/>
        </w:rPr>
        <w:t>States</w:t>
      </w:r>
      <w:r>
        <w:rPr>
          <w:spacing w:val="40"/>
          <w:vertAlign w:val="baseline"/>
        </w:rPr>
        <w:t> </w:t>
      </w:r>
      <w:r>
        <w:rPr>
          <w:vertAlign w:val="baseline"/>
        </w:rPr>
        <w:t>AQS,</w:t>
      </w:r>
      <w:r>
        <w:rPr>
          <w:spacing w:val="40"/>
          <w:vertAlign w:val="baseline"/>
        </w:rPr>
        <w:t> </w:t>
      </w:r>
      <w:r>
        <w:rPr>
          <w:vertAlign w:val="baseline"/>
        </w:rPr>
        <w:t>1994).</w:t>
      </w:r>
      <w:r>
        <w:rPr>
          <w:spacing w:val="40"/>
          <w:vertAlign w:val="baseline"/>
        </w:rPr>
        <w:t> </w:t>
      </w:r>
      <w:r>
        <w:rPr>
          <w:vertAlign w:val="baseline"/>
        </w:rPr>
        <w:t>Any</w:t>
      </w:r>
      <w:r>
        <w:rPr>
          <w:spacing w:val="33"/>
          <w:vertAlign w:val="baseline"/>
        </w:rPr>
        <w:t> </w:t>
      </w:r>
      <w:r>
        <w:rPr>
          <w:vertAlign w:val="baseline"/>
        </w:rPr>
        <w:t>exposure</w:t>
      </w:r>
      <w:r>
        <w:rPr>
          <w:spacing w:val="40"/>
          <w:vertAlign w:val="baseline"/>
        </w:rPr>
        <w:t> </w:t>
      </w:r>
      <w:r>
        <w:rPr>
          <w:vertAlign w:val="baseline"/>
        </w:rPr>
        <w:t>to</w:t>
      </w:r>
      <w:r>
        <w:rPr>
          <w:spacing w:val="40"/>
          <w:vertAlign w:val="baseline"/>
        </w:rPr>
        <w:t> </w:t>
      </w:r>
      <w:r>
        <w:rPr>
          <w:vertAlign w:val="baseline"/>
        </w:rPr>
        <w:t>ambient</w:t>
      </w:r>
      <w:r>
        <w:rPr>
          <w:spacing w:val="40"/>
          <w:vertAlign w:val="baseline"/>
        </w:rPr>
        <w:t> </w:t>
      </w:r>
      <w:r>
        <w:rPr>
          <w:vertAlign w:val="baseline"/>
        </w:rPr>
        <w:t>air</w:t>
      </w:r>
      <w:r>
        <w:rPr>
          <w:spacing w:val="40"/>
          <w:vertAlign w:val="baseline"/>
        </w:rPr>
        <w:t> </w:t>
      </w:r>
      <w:r>
        <w:rPr>
          <w:vertAlign w:val="baseline"/>
        </w:rPr>
        <w:t>CO</w:t>
      </w:r>
      <w:r>
        <w:rPr>
          <w:spacing w:val="40"/>
          <w:vertAlign w:val="baseline"/>
        </w:rPr>
        <w:t> </w:t>
      </w:r>
      <w:r>
        <w:rPr>
          <w:vertAlign w:val="baseline"/>
        </w:rPr>
        <w:t>levels</w:t>
      </w:r>
      <w:r>
        <w:rPr>
          <w:spacing w:val="40"/>
          <w:vertAlign w:val="baseline"/>
        </w:rPr>
        <w:t> </w:t>
      </w:r>
      <w:r>
        <w:rPr>
          <w:vertAlign w:val="baseline"/>
        </w:rPr>
        <w:t>greater</w:t>
      </w:r>
      <w:r>
        <w:rPr>
          <w:spacing w:val="40"/>
          <w:vertAlign w:val="baseline"/>
        </w:rPr>
        <w:t> </w:t>
      </w:r>
      <w:r>
        <w:rPr>
          <w:vertAlign w:val="baseline"/>
        </w:rPr>
        <w:t>than 100</w:t>
      </w:r>
      <w:r>
        <w:rPr>
          <w:spacing w:val="37"/>
          <w:vertAlign w:val="baseline"/>
        </w:rPr>
        <w:t> </w:t>
      </w:r>
      <w:r>
        <w:rPr>
          <w:vertAlign w:val="baseline"/>
        </w:rPr>
        <w:t>ppm</w:t>
      </w:r>
      <w:r>
        <w:rPr>
          <w:spacing w:val="34"/>
          <w:vertAlign w:val="baseline"/>
        </w:rPr>
        <w:t> </w:t>
      </w:r>
      <w:r>
        <w:rPr>
          <w:vertAlign w:val="baseline"/>
        </w:rPr>
        <w:t>is</w:t>
      </w:r>
      <w:r>
        <w:rPr>
          <w:spacing w:val="34"/>
          <w:vertAlign w:val="baseline"/>
        </w:rPr>
        <w:t> </w:t>
      </w:r>
      <w:r>
        <w:rPr>
          <w:vertAlign w:val="baseline"/>
        </w:rPr>
        <w:t>dangerous</w:t>
      </w:r>
      <w:r>
        <w:rPr>
          <w:spacing w:val="34"/>
          <w:vertAlign w:val="baseline"/>
        </w:rPr>
        <w:t> </w:t>
      </w:r>
      <w:r>
        <w:rPr>
          <w:vertAlign w:val="baseline"/>
        </w:rPr>
        <w:t>to</w:t>
      </w:r>
      <w:r>
        <w:rPr>
          <w:spacing w:val="38"/>
          <w:vertAlign w:val="baseline"/>
        </w:rPr>
        <w:t> </w:t>
      </w:r>
      <w:r>
        <w:rPr>
          <w:vertAlign w:val="baseline"/>
        </w:rPr>
        <w:t>human</w:t>
      </w:r>
      <w:r>
        <w:rPr>
          <w:spacing w:val="34"/>
          <w:vertAlign w:val="baseline"/>
        </w:rPr>
        <w:t> </w:t>
      </w:r>
      <w:r>
        <w:rPr>
          <w:vertAlign w:val="baseline"/>
        </w:rPr>
        <w:t>health</w:t>
      </w:r>
      <w:r>
        <w:rPr>
          <w:spacing w:val="33"/>
          <w:vertAlign w:val="baseline"/>
        </w:rPr>
        <w:t> </w:t>
      </w:r>
      <w:r>
        <w:rPr>
          <w:vertAlign w:val="baseline"/>
        </w:rPr>
        <w:t>(White,</w:t>
      </w:r>
      <w:r>
        <w:rPr>
          <w:spacing w:val="39"/>
          <w:vertAlign w:val="baseline"/>
        </w:rPr>
        <w:t> </w:t>
      </w:r>
      <w:r>
        <w:rPr>
          <w:i/>
          <w:vertAlign w:val="baseline"/>
        </w:rPr>
        <w:t>et</w:t>
      </w:r>
      <w:r>
        <w:rPr>
          <w:i/>
          <w:spacing w:val="35"/>
          <w:vertAlign w:val="baseline"/>
        </w:rPr>
        <w:t> </w:t>
      </w:r>
      <w:r>
        <w:rPr>
          <w:i/>
          <w:vertAlign w:val="baseline"/>
        </w:rPr>
        <w:t>al</w:t>
      </w:r>
      <w:r>
        <w:rPr>
          <w:vertAlign w:val="baseline"/>
        </w:rPr>
        <w:t>.,</w:t>
      </w:r>
      <w:r>
        <w:rPr>
          <w:spacing w:val="31"/>
          <w:vertAlign w:val="baseline"/>
        </w:rPr>
        <w:t> </w:t>
      </w:r>
      <w:r>
        <w:rPr>
          <w:vertAlign w:val="baseline"/>
        </w:rPr>
        <w:t>1992;</w:t>
      </w:r>
      <w:r>
        <w:rPr>
          <w:spacing w:val="36"/>
          <w:vertAlign w:val="baseline"/>
        </w:rPr>
        <w:t> </w:t>
      </w:r>
      <w:r>
        <w:rPr>
          <w:vertAlign w:val="baseline"/>
        </w:rPr>
        <w:t>Townsend,</w:t>
      </w:r>
      <w:r>
        <w:rPr>
          <w:spacing w:val="38"/>
          <w:vertAlign w:val="baseline"/>
        </w:rPr>
        <w:t> </w:t>
      </w:r>
      <w:r>
        <w:rPr>
          <w:i/>
          <w:vertAlign w:val="baseline"/>
        </w:rPr>
        <w:t>et</w:t>
      </w:r>
      <w:r>
        <w:rPr>
          <w:i/>
          <w:spacing w:val="35"/>
          <w:vertAlign w:val="baseline"/>
        </w:rPr>
        <w:t> </w:t>
      </w:r>
      <w:r>
        <w:rPr>
          <w:i/>
          <w:vertAlign w:val="baseline"/>
        </w:rPr>
        <w:t>al</w:t>
      </w:r>
      <w:r>
        <w:rPr>
          <w:vertAlign w:val="baseline"/>
        </w:rPr>
        <w:t>.,</w:t>
      </w:r>
      <w:r>
        <w:rPr>
          <w:spacing w:val="31"/>
          <w:vertAlign w:val="baseline"/>
        </w:rPr>
        <w:t> </w:t>
      </w:r>
      <w:r>
        <w:rPr>
          <w:spacing w:val="-2"/>
          <w:vertAlign w:val="baseline"/>
        </w:rPr>
        <w:t>2002).</w:t>
      </w:r>
    </w:p>
    <w:p>
      <w:pPr>
        <w:spacing w:after="0" w:line="491" w:lineRule="auto"/>
        <w:jc w:val="both"/>
        <w:sectPr>
          <w:pgSz w:w="12240" w:h="15840"/>
          <w:pgMar w:header="0" w:footer="916" w:top="1260" w:bottom="1100" w:left="1720" w:right="960"/>
        </w:sectPr>
      </w:pPr>
    </w:p>
    <w:p>
      <w:pPr>
        <w:pStyle w:val="BodyText"/>
        <w:spacing w:line="491" w:lineRule="auto" w:before="75"/>
        <w:ind w:left="665" w:right="903"/>
        <w:jc w:val="both"/>
      </w:pPr>
      <w:r>
        <w:rPr/>
        <w:t>Very high levels of </w:t>
      </w:r>
      <w:r>
        <w:rPr>
          <w:i/>
        </w:rPr>
        <w:t>S100B </w:t>
      </w:r>
      <w:r>
        <w:rPr/>
        <w:t>protein, a structural astroglial protein, have been found in patients</w:t>
      </w:r>
      <w:r>
        <w:rPr>
          <w:spacing w:val="40"/>
        </w:rPr>
        <w:t> </w:t>
      </w:r>
      <w:r>
        <w:rPr/>
        <w:t>who</w:t>
      </w:r>
      <w:r>
        <w:rPr>
          <w:spacing w:val="40"/>
        </w:rPr>
        <w:t> </w:t>
      </w:r>
      <w:r>
        <w:rPr/>
        <w:t>died</w:t>
      </w:r>
      <w:r>
        <w:rPr>
          <w:spacing w:val="40"/>
        </w:rPr>
        <w:t> </w:t>
      </w:r>
      <w:r>
        <w:rPr/>
        <w:t>from</w:t>
      </w:r>
      <w:r>
        <w:rPr>
          <w:spacing w:val="40"/>
        </w:rPr>
        <w:t> </w:t>
      </w:r>
      <w:r>
        <w:rPr/>
        <w:t>CO</w:t>
      </w:r>
      <w:r>
        <w:rPr>
          <w:spacing w:val="40"/>
        </w:rPr>
        <w:t> </w:t>
      </w:r>
      <w:r>
        <w:rPr/>
        <w:t>poisoning;</w:t>
      </w:r>
      <w:r>
        <w:rPr>
          <w:spacing w:val="40"/>
        </w:rPr>
        <w:t> </w:t>
      </w:r>
      <w:r>
        <w:rPr/>
        <w:t>elevated</w:t>
      </w:r>
      <w:r>
        <w:rPr>
          <w:spacing w:val="40"/>
        </w:rPr>
        <w:t> </w:t>
      </w:r>
      <w:r>
        <w:rPr/>
        <w:t>levels</w:t>
      </w:r>
      <w:r>
        <w:rPr>
          <w:spacing w:val="40"/>
        </w:rPr>
        <w:t> </w:t>
      </w:r>
      <w:r>
        <w:rPr/>
        <w:t>occur</w:t>
      </w:r>
      <w:r>
        <w:rPr>
          <w:spacing w:val="40"/>
        </w:rPr>
        <w:t> </w:t>
      </w:r>
      <w:r>
        <w:rPr/>
        <w:t>in</w:t>
      </w:r>
      <w:r>
        <w:rPr>
          <w:spacing w:val="40"/>
        </w:rPr>
        <w:t> </w:t>
      </w:r>
      <w:r>
        <w:rPr/>
        <w:t>unconscious</w:t>
      </w:r>
      <w:r>
        <w:rPr>
          <w:spacing w:val="40"/>
        </w:rPr>
        <w:t> </w:t>
      </w:r>
      <w:r>
        <w:rPr/>
        <w:t>patients, and</w:t>
      </w:r>
      <w:r>
        <w:rPr>
          <w:spacing w:val="40"/>
        </w:rPr>
        <w:t> </w:t>
      </w:r>
      <w:r>
        <w:rPr/>
        <w:t>normal</w:t>
      </w:r>
      <w:r>
        <w:rPr>
          <w:spacing w:val="40"/>
        </w:rPr>
        <w:t> </w:t>
      </w:r>
      <w:r>
        <w:rPr/>
        <w:t>levels</w:t>
      </w:r>
      <w:r>
        <w:rPr>
          <w:spacing w:val="40"/>
        </w:rPr>
        <w:t> </w:t>
      </w:r>
      <w:r>
        <w:rPr/>
        <w:t>in</w:t>
      </w:r>
      <w:r>
        <w:rPr>
          <w:spacing w:val="40"/>
        </w:rPr>
        <w:t> </w:t>
      </w:r>
      <w:r>
        <w:rPr/>
        <w:t>those</w:t>
      </w:r>
      <w:r>
        <w:rPr>
          <w:spacing w:val="40"/>
        </w:rPr>
        <w:t> </w:t>
      </w:r>
      <w:r>
        <w:rPr/>
        <w:t>without</w:t>
      </w:r>
      <w:r>
        <w:rPr>
          <w:spacing w:val="40"/>
        </w:rPr>
        <w:t> </w:t>
      </w:r>
      <w:r>
        <w:rPr/>
        <w:t>loss</w:t>
      </w:r>
      <w:r>
        <w:rPr>
          <w:spacing w:val="40"/>
        </w:rPr>
        <w:t> </w:t>
      </w:r>
      <w:r>
        <w:rPr/>
        <w:t>of</w:t>
      </w:r>
      <w:r>
        <w:rPr>
          <w:spacing w:val="40"/>
        </w:rPr>
        <w:t> </w:t>
      </w:r>
      <w:r>
        <w:rPr/>
        <w:t>consciousness.</w:t>
      </w:r>
      <w:r>
        <w:rPr>
          <w:spacing w:val="40"/>
        </w:rPr>
        <w:t> </w:t>
      </w:r>
      <w:r>
        <w:rPr/>
        <w:t>It</w:t>
      </w:r>
      <w:r>
        <w:rPr>
          <w:spacing w:val="40"/>
        </w:rPr>
        <w:t> </w:t>
      </w:r>
      <w:r>
        <w:rPr/>
        <w:t>was</w:t>
      </w:r>
      <w:r>
        <w:rPr>
          <w:spacing w:val="40"/>
        </w:rPr>
        <w:t> </w:t>
      </w:r>
      <w:r>
        <w:rPr/>
        <w:t>proposed</w:t>
      </w:r>
      <w:r>
        <w:rPr>
          <w:spacing w:val="40"/>
        </w:rPr>
        <w:t> </w:t>
      </w:r>
      <w:r>
        <w:rPr/>
        <w:t>that</w:t>
      </w:r>
      <w:r>
        <w:rPr>
          <w:spacing w:val="40"/>
        </w:rPr>
        <w:t> </w:t>
      </w:r>
      <w:r>
        <w:rPr/>
        <w:t>the </w:t>
      </w:r>
      <w:r>
        <w:rPr>
          <w:i/>
        </w:rPr>
        <w:t>S100B </w:t>
      </w:r>
      <w:r>
        <w:rPr/>
        <w:t>protein levels could be used as a biochemical marker of brain injury in CO poisoning (Townsend, 2002).</w:t>
      </w:r>
    </w:p>
    <w:p>
      <w:pPr>
        <w:pStyle w:val="BodyText"/>
      </w:pPr>
    </w:p>
    <w:p>
      <w:pPr>
        <w:pStyle w:val="BodyText"/>
        <w:spacing w:before="11"/>
      </w:pPr>
    </w:p>
    <w:p>
      <w:pPr>
        <w:pStyle w:val="BodyText"/>
        <w:spacing w:line="491" w:lineRule="auto" w:before="1"/>
        <w:ind w:left="665" w:right="899"/>
        <w:jc w:val="both"/>
      </w:pPr>
      <w:r>
        <w:rPr/>
        <w:t>Patients</w:t>
      </w:r>
      <w:r>
        <w:rPr>
          <w:spacing w:val="40"/>
        </w:rPr>
        <w:t> </w:t>
      </w:r>
      <w:r>
        <w:rPr/>
        <w:t>may</w:t>
      </w:r>
      <w:r>
        <w:rPr>
          <w:spacing w:val="40"/>
        </w:rPr>
        <w:t> </w:t>
      </w:r>
      <w:r>
        <w:rPr/>
        <w:t>also</w:t>
      </w:r>
      <w:r>
        <w:rPr>
          <w:spacing w:val="40"/>
        </w:rPr>
        <w:t> </w:t>
      </w:r>
      <w:r>
        <w:rPr/>
        <w:t>present</w:t>
      </w:r>
      <w:r>
        <w:rPr>
          <w:spacing w:val="40"/>
        </w:rPr>
        <w:t> </w:t>
      </w:r>
      <w:r>
        <w:rPr/>
        <w:t>with</w:t>
      </w:r>
      <w:r>
        <w:rPr>
          <w:spacing w:val="40"/>
        </w:rPr>
        <w:t> </w:t>
      </w:r>
      <w:r>
        <w:rPr/>
        <w:t>neuropsychological</w:t>
      </w:r>
      <w:r>
        <w:rPr>
          <w:spacing w:val="40"/>
        </w:rPr>
        <w:t> </w:t>
      </w:r>
      <w:r>
        <w:rPr/>
        <w:t>sequelae</w:t>
      </w:r>
      <w:r>
        <w:rPr>
          <w:spacing w:val="40"/>
        </w:rPr>
        <w:t> </w:t>
      </w:r>
      <w:r>
        <w:rPr/>
        <w:t>long</w:t>
      </w:r>
      <w:r>
        <w:rPr>
          <w:spacing w:val="40"/>
        </w:rPr>
        <w:t> </w:t>
      </w:r>
      <w:r>
        <w:rPr/>
        <w:t>time</w:t>
      </w:r>
      <w:r>
        <w:rPr>
          <w:spacing w:val="40"/>
        </w:rPr>
        <w:t> </w:t>
      </w:r>
      <w:r>
        <w:rPr/>
        <w:t>after</w:t>
      </w:r>
      <w:r>
        <w:rPr>
          <w:spacing w:val="40"/>
        </w:rPr>
        <w:t> </w:t>
      </w:r>
      <w:r>
        <w:rPr/>
        <w:t>CO poisoning (Weaver </w:t>
      </w:r>
      <w:r>
        <w:rPr>
          <w:i/>
        </w:rPr>
        <w:t>et</w:t>
      </w:r>
      <w:r>
        <w:rPr>
          <w:i/>
          <w:spacing w:val="40"/>
        </w:rPr>
        <w:t> </w:t>
      </w:r>
      <w:r>
        <w:rPr>
          <w:i/>
        </w:rPr>
        <w:t>al</w:t>
      </w:r>
      <w:r>
        <w:rPr/>
        <w:t>., 2007).</w:t>
      </w:r>
      <w:r>
        <w:rPr>
          <w:spacing w:val="40"/>
        </w:rPr>
        <w:t> </w:t>
      </w:r>
      <w:r>
        <w:rPr/>
        <w:t>In one randomized</w:t>
      </w:r>
      <w:r>
        <w:rPr>
          <w:spacing w:val="40"/>
        </w:rPr>
        <w:t> </w:t>
      </w:r>
      <w:r>
        <w:rPr/>
        <w:t>trial,</w:t>
      </w:r>
      <w:r>
        <w:rPr>
          <w:spacing w:val="40"/>
        </w:rPr>
        <w:t> </w:t>
      </w:r>
      <w:r>
        <w:rPr/>
        <w:t>46% of poisoned</w:t>
      </w:r>
      <w:r>
        <w:rPr>
          <w:spacing w:val="40"/>
        </w:rPr>
        <w:t> </w:t>
      </w:r>
      <w:r>
        <w:rPr/>
        <w:t>patients treated</w:t>
      </w:r>
      <w:r>
        <w:rPr>
          <w:spacing w:val="40"/>
        </w:rPr>
        <w:t> </w:t>
      </w:r>
      <w:r>
        <w:rPr/>
        <w:t>with</w:t>
      </w:r>
      <w:r>
        <w:rPr>
          <w:spacing w:val="40"/>
        </w:rPr>
        <w:t> </w:t>
      </w:r>
      <w:r>
        <w:rPr/>
        <w:t>normobaric</w:t>
      </w:r>
      <w:r>
        <w:rPr>
          <w:spacing w:val="40"/>
        </w:rPr>
        <w:t> </w:t>
      </w:r>
      <w:r>
        <w:rPr/>
        <w:t>oxygen</w:t>
      </w:r>
      <w:r>
        <w:rPr>
          <w:spacing w:val="40"/>
        </w:rPr>
        <w:t> </w:t>
      </w:r>
      <w:r>
        <w:rPr/>
        <w:t>had</w:t>
      </w:r>
      <w:r>
        <w:rPr>
          <w:spacing w:val="40"/>
        </w:rPr>
        <w:t> </w:t>
      </w:r>
      <w:r>
        <w:rPr/>
        <w:t>cognitive</w:t>
      </w:r>
      <w:r>
        <w:rPr>
          <w:spacing w:val="40"/>
        </w:rPr>
        <w:t> </w:t>
      </w:r>
      <w:r>
        <w:rPr/>
        <w:t>sequelae</w:t>
      </w:r>
      <w:r>
        <w:rPr>
          <w:spacing w:val="40"/>
        </w:rPr>
        <w:t> </w:t>
      </w:r>
      <w:r>
        <w:rPr/>
        <w:t>6</w:t>
      </w:r>
      <w:r>
        <w:rPr>
          <w:spacing w:val="40"/>
        </w:rPr>
        <w:t> </w:t>
      </w:r>
      <w:r>
        <w:rPr/>
        <w:t>weeks</w:t>
      </w:r>
      <w:r>
        <w:rPr>
          <w:spacing w:val="40"/>
        </w:rPr>
        <w:t> </w:t>
      </w:r>
      <w:r>
        <w:rPr/>
        <w:t>after</w:t>
      </w:r>
      <w:r>
        <w:rPr>
          <w:spacing w:val="40"/>
        </w:rPr>
        <w:t> </w:t>
      </w:r>
      <w:r>
        <w:rPr/>
        <w:t>poisoning (Weaver </w:t>
      </w:r>
      <w:r>
        <w:rPr>
          <w:i/>
        </w:rPr>
        <w:t>et</w:t>
      </w:r>
      <w:r>
        <w:rPr>
          <w:i/>
          <w:spacing w:val="40"/>
        </w:rPr>
        <w:t> </w:t>
      </w:r>
      <w:r>
        <w:rPr>
          <w:i/>
        </w:rPr>
        <w:t>al</w:t>
      </w:r>
      <w:r>
        <w:rPr/>
        <w:t>., 2002)</w:t>
      </w:r>
      <w:r>
        <w:rPr>
          <w:spacing w:val="40"/>
        </w:rPr>
        <w:t> </w:t>
      </w:r>
      <w:r>
        <w:rPr/>
        <w:t>and</w:t>
      </w:r>
      <w:r>
        <w:rPr>
          <w:spacing w:val="40"/>
        </w:rPr>
        <w:t> </w:t>
      </w:r>
      <w:r>
        <w:rPr/>
        <w:t>45% had</w:t>
      </w:r>
      <w:r>
        <w:rPr>
          <w:spacing w:val="40"/>
        </w:rPr>
        <w:t> </w:t>
      </w:r>
      <w:r>
        <w:rPr/>
        <w:t>affective</w:t>
      </w:r>
      <w:r>
        <w:rPr>
          <w:spacing w:val="40"/>
        </w:rPr>
        <w:t> </w:t>
      </w:r>
      <w:r>
        <w:rPr/>
        <w:t>sequelae (Jasper</w:t>
      </w:r>
      <w:r>
        <w:rPr>
          <w:spacing w:val="40"/>
        </w:rPr>
        <w:t> </w:t>
      </w:r>
      <w:r>
        <w:rPr>
          <w:i/>
        </w:rPr>
        <w:t>et al</w:t>
      </w:r>
      <w:r>
        <w:rPr/>
        <w:t>., 2005).</w:t>
      </w:r>
      <w:r>
        <w:rPr>
          <w:spacing w:val="40"/>
        </w:rPr>
        <w:t> </w:t>
      </w:r>
      <w:r>
        <w:rPr/>
        <w:t>Other sequelae include gait and motor disturbances; peripheral neuropathy; hearing loss and vestibular abnormalities; and dementia and psychosis (Choi, 2000), which can be </w:t>
      </w:r>
      <w:r>
        <w:rPr>
          <w:spacing w:val="-2"/>
        </w:rPr>
        <w:t>permanent.</w:t>
      </w:r>
    </w:p>
    <w:p>
      <w:pPr>
        <w:pStyle w:val="BodyText"/>
      </w:pPr>
    </w:p>
    <w:p>
      <w:pPr>
        <w:pStyle w:val="BodyText"/>
        <w:spacing w:before="15"/>
      </w:pPr>
    </w:p>
    <w:p>
      <w:pPr>
        <w:pStyle w:val="BodyText"/>
        <w:spacing w:line="491" w:lineRule="auto"/>
        <w:ind w:left="665" w:right="897"/>
        <w:jc w:val="both"/>
      </w:pPr>
      <w:r>
        <w:rPr/>
        <w:t>Diffusion Weighted Images (DWI) in brain Magnetic resonance imaging (MRI) shows white matter high signal intensities consistent with restricted diffusion in acute CO poisoning.</w:t>
      </w:r>
      <w:r>
        <w:rPr>
          <w:spacing w:val="40"/>
        </w:rPr>
        <w:t> </w:t>
      </w:r>
      <w:r>
        <w:rPr/>
        <w:t>Most</w:t>
      </w:r>
      <w:r>
        <w:rPr>
          <w:spacing w:val="40"/>
        </w:rPr>
        <w:t> </w:t>
      </w:r>
      <w:r>
        <w:rPr/>
        <w:t>unconscious patients present</w:t>
      </w:r>
      <w:r>
        <w:rPr>
          <w:spacing w:val="40"/>
        </w:rPr>
        <w:t> </w:t>
      </w:r>
      <w:r>
        <w:rPr/>
        <w:t>with abnormalities of Globus Pallidus or the entire lentiform nucleus (Globus Pallidus and Putamen), putamen alone, caudate nucleus, thalamus, periventricular and subcortical white matter, cerebral cortex hippocampus and cerebellum. Brain MRI may appear to be normal in some victims who have suffered CO brain damage (O’Donnell </w:t>
      </w:r>
      <w:r>
        <w:rPr>
          <w:i/>
        </w:rPr>
        <w:t>et al</w:t>
      </w:r>
      <w:r>
        <w:rPr/>
        <w:t>., 2000). Extensive bilateral cerebellar white matter signal change, with sparing of the overlying cortex, consistent with demyelination was reported 6</w:t>
      </w:r>
      <w:r>
        <w:rPr>
          <w:spacing w:val="36"/>
        </w:rPr>
        <w:t> </w:t>
      </w:r>
      <w:r>
        <w:rPr/>
        <w:t>years after</w:t>
      </w:r>
      <w:r>
        <w:rPr>
          <w:spacing w:val="36"/>
        </w:rPr>
        <w:t> </w:t>
      </w:r>
      <w:r>
        <w:rPr/>
        <w:t>CO poisoning (Maschalchi </w:t>
      </w:r>
      <w:r>
        <w:rPr>
          <w:i/>
        </w:rPr>
        <w:t>et al</w:t>
      </w:r>
      <w:r>
        <w:rPr/>
        <w:t>., 1996).</w:t>
      </w:r>
    </w:p>
    <w:p>
      <w:pPr>
        <w:spacing w:after="0" w:line="491" w:lineRule="auto"/>
        <w:jc w:val="both"/>
        <w:sectPr>
          <w:pgSz w:w="12240" w:h="15840"/>
          <w:pgMar w:header="0" w:footer="916" w:top="1260" w:bottom="1100" w:left="1720" w:right="960"/>
        </w:sectPr>
      </w:pPr>
    </w:p>
    <w:p>
      <w:pPr>
        <w:pStyle w:val="Heading2"/>
        <w:numPr>
          <w:ilvl w:val="1"/>
          <w:numId w:val="16"/>
        </w:numPr>
        <w:tabs>
          <w:tab w:pos="1009" w:val="left" w:leader="none"/>
        </w:tabs>
        <w:spacing w:line="240" w:lineRule="auto" w:before="80" w:after="0"/>
        <w:ind w:left="1009" w:right="0" w:hanging="344"/>
        <w:jc w:val="left"/>
      </w:pPr>
      <w:bookmarkStart w:name="_TOC_250033" w:id="24"/>
      <w:r>
        <w:rPr/>
        <w:t>CARBON</w:t>
      </w:r>
      <w:r>
        <w:rPr>
          <w:spacing w:val="19"/>
        </w:rPr>
        <w:t> </w:t>
      </w:r>
      <w:r>
        <w:rPr/>
        <w:t>MONOXIDE</w:t>
      </w:r>
      <w:r>
        <w:rPr>
          <w:spacing w:val="18"/>
        </w:rPr>
        <w:t> </w:t>
      </w:r>
      <w:bookmarkEnd w:id="24"/>
      <w:r>
        <w:rPr>
          <w:spacing w:val="-2"/>
        </w:rPr>
        <w:t>TOXICITY</w:t>
      </w:r>
    </w:p>
    <w:p>
      <w:pPr>
        <w:pStyle w:val="BodyText"/>
        <w:spacing w:before="7"/>
        <w:rPr>
          <w:b/>
        </w:rPr>
      </w:pPr>
    </w:p>
    <w:p>
      <w:pPr>
        <w:pStyle w:val="BodyText"/>
        <w:spacing w:line="491" w:lineRule="auto" w:before="1"/>
        <w:ind w:left="665" w:right="894"/>
        <w:jc w:val="both"/>
      </w:pPr>
      <w:r>
        <w:rPr/>
        <w:t>The</w:t>
      </w:r>
      <w:r>
        <w:rPr>
          <w:spacing w:val="25"/>
        </w:rPr>
        <w:t> </w:t>
      </w:r>
      <w:r>
        <w:rPr/>
        <w:t>Centre</w:t>
      </w:r>
      <w:r>
        <w:rPr>
          <w:spacing w:val="31"/>
        </w:rPr>
        <w:t> </w:t>
      </w:r>
      <w:r>
        <w:rPr/>
        <w:t>for</w:t>
      </w:r>
      <w:r>
        <w:rPr>
          <w:spacing w:val="26"/>
        </w:rPr>
        <w:t> </w:t>
      </w:r>
      <w:r>
        <w:rPr/>
        <w:t>Disease</w:t>
      </w:r>
      <w:r>
        <w:rPr>
          <w:spacing w:val="31"/>
        </w:rPr>
        <w:t> </w:t>
      </w:r>
      <w:r>
        <w:rPr/>
        <w:t>Control and</w:t>
      </w:r>
      <w:r>
        <w:rPr>
          <w:spacing w:val="33"/>
        </w:rPr>
        <w:t> </w:t>
      </w:r>
      <w:r>
        <w:rPr/>
        <w:t>Prevention</w:t>
      </w:r>
      <w:r>
        <w:rPr>
          <w:spacing w:val="22"/>
        </w:rPr>
        <w:t> </w:t>
      </w:r>
      <w:r>
        <w:rPr/>
        <w:t>(CDC)</w:t>
      </w:r>
      <w:r>
        <w:rPr>
          <w:spacing w:val="26"/>
        </w:rPr>
        <w:t> </w:t>
      </w:r>
      <w:r>
        <w:rPr/>
        <w:t>estimated</w:t>
      </w:r>
      <w:r>
        <w:rPr>
          <w:spacing w:val="27"/>
        </w:rPr>
        <w:t> </w:t>
      </w:r>
      <w:r>
        <w:rPr/>
        <w:t>that</w:t>
      </w:r>
      <w:r>
        <w:rPr>
          <w:spacing w:val="25"/>
        </w:rPr>
        <w:t> </w:t>
      </w:r>
      <w:r>
        <w:rPr/>
        <w:t>during the</w:t>
      </w:r>
      <w:r>
        <w:rPr>
          <w:spacing w:val="25"/>
        </w:rPr>
        <w:t> </w:t>
      </w:r>
      <w:r>
        <w:rPr/>
        <w:t>period of</w:t>
      </w:r>
      <w:r>
        <w:rPr>
          <w:spacing w:val="40"/>
        </w:rPr>
        <w:t> </w:t>
      </w:r>
      <w:r>
        <w:rPr/>
        <w:t>1999–2004,</w:t>
      </w:r>
      <w:r>
        <w:rPr>
          <w:spacing w:val="40"/>
        </w:rPr>
        <w:t> </w:t>
      </w:r>
      <w:r>
        <w:rPr/>
        <w:t>CO</w:t>
      </w:r>
      <w:r>
        <w:rPr>
          <w:spacing w:val="40"/>
        </w:rPr>
        <w:t> </w:t>
      </w:r>
      <w:r>
        <w:rPr/>
        <w:t>was</w:t>
      </w:r>
      <w:r>
        <w:rPr>
          <w:spacing w:val="40"/>
        </w:rPr>
        <w:t> </w:t>
      </w:r>
      <w:r>
        <w:rPr/>
        <w:t>listed</w:t>
      </w:r>
      <w:r>
        <w:rPr>
          <w:spacing w:val="40"/>
        </w:rPr>
        <w:t> </w:t>
      </w:r>
      <w:r>
        <w:rPr/>
        <w:t>as</w:t>
      </w:r>
      <w:r>
        <w:rPr>
          <w:spacing w:val="40"/>
        </w:rPr>
        <w:t> </w:t>
      </w:r>
      <w:r>
        <w:rPr/>
        <w:t>a</w:t>
      </w:r>
      <w:r>
        <w:rPr>
          <w:spacing w:val="40"/>
        </w:rPr>
        <w:t> </w:t>
      </w:r>
      <w:r>
        <w:rPr/>
        <w:t>contributing</w:t>
      </w:r>
      <w:r>
        <w:rPr>
          <w:spacing w:val="40"/>
        </w:rPr>
        <w:t> </w:t>
      </w:r>
      <w:r>
        <w:rPr/>
        <w:t>cause</w:t>
      </w:r>
      <w:r>
        <w:rPr>
          <w:spacing w:val="40"/>
        </w:rPr>
        <w:t> </w:t>
      </w:r>
      <w:r>
        <w:rPr/>
        <w:t>of</w:t>
      </w:r>
      <w:r>
        <w:rPr>
          <w:spacing w:val="40"/>
        </w:rPr>
        <w:t> </w:t>
      </w:r>
      <w:r>
        <w:rPr/>
        <w:t>death</w:t>
      </w:r>
      <w:r>
        <w:rPr>
          <w:spacing w:val="40"/>
        </w:rPr>
        <w:t> </w:t>
      </w:r>
      <w:r>
        <w:rPr/>
        <w:t>on</w:t>
      </w:r>
      <w:r>
        <w:rPr>
          <w:spacing w:val="40"/>
        </w:rPr>
        <w:t> </w:t>
      </w:r>
      <w:r>
        <w:rPr/>
        <w:t>16,447</w:t>
      </w:r>
      <w:r>
        <w:rPr>
          <w:spacing w:val="40"/>
        </w:rPr>
        <w:t> </w:t>
      </w:r>
      <w:r>
        <w:rPr/>
        <w:t>death certificates</w:t>
      </w:r>
      <w:r>
        <w:rPr>
          <w:spacing w:val="40"/>
        </w:rPr>
        <w:t> </w:t>
      </w:r>
      <w:r>
        <w:rPr/>
        <w:t>in</w:t>
      </w:r>
      <w:r>
        <w:rPr>
          <w:spacing w:val="40"/>
        </w:rPr>
        <w:t> </w:t>
      </w:r>
      <w:r>
        <w:rPr/>
        <w:t>the</w:t>
      </w:r>
      <w:r>
        <w:rPr>
          <w:spacing w:val="40"/>
        </w:rPr>
        <w:t> </w:t>
      </w:r>
      <w:r>
        <w:rPr/>
        <w:t>United</w:t>
      </w:r>
      <w:r>
        <w:rPr>
          <w:spacing w:val="40"/>
        </w:rPr>
        <w:t> </w:t>
      </w:r>
      <w:r>
        <w:rPr/>
        <w:t>States,</w:t>
      </w:r>
      <w:r>
        <w:rPr>
          <w:spacing w:val="40"/>
        </w:rPr>
        <w:t> </w:t>
      </w:r>
      <w:r>
        <w:rPr/>
        <w:t>of</w:t>
      </w:r>
      <w:r>
        <w:rPr>
          <w:spacing w:val="40"/>
        </w:rPr>
        <w:t> </w:t>
      </w:r>
      <w:r>
        <w:rPr/>
        <w:t>which</w:t>
      </w:r>
      <w:r>
        <w:rPr>
          <w:spacing w:val="40"/>
        </w:rPr>
        <w:t> </w:t>
      </w:r>
      <w:r>
        <w:rPr/>
        <w:t>2,631</w:t>
      </w:r>
      <w:r>
        <w:rPr>
          <w:spacing w:val="40"/>
        </w:rPr>
        <w:t> </w:t>
      </w:r>
      <w:r>
        <w:rPr/>
        <w:t>deaths</w:t>
      </w:r>
      <w:r>
        <w:rPr>
          <w:spacing w:val="40"/>
        </w:rPr>
        <w:t> </w:t>
      </w:r>
      <w:r>
        <w:rPr/>
        <w:t>were</w:t>
      </w:r>
      <w:r>
        <w:rPr>
          <w:spacing w:val="40"/>
        </w:rPr>
        <w:t> </w:t>
      </w:r>
      <w:r>
        <w:rPr/>
        <w:t>categorized</w:t>
      </w:r>
      <w:r>
        <w:rPr>
          <w:spacing w:val="40"/>
        </w:rPr>
        <w:t> </w:t>
      </w:r>
      <w:r>
        <w:rPr/>
        <w:t>as unintentional and</w:t>
      </w:r>
      <w:r>
        <w:rPr>
          <w:spacing w:val="40"/>
        </w:rPr>
        <w:t> </w:t>
      </w:r>
      <w:r>
        <w:rPr/>
        <w:t>unrelated</w:t>
      </w:r>
      <w:r>
        <w:rPr>
          <w:spacing w:val="40"/>
        </w:rPr>
        <w:t> </w:t>
      </w:r>
      <w:r>
        <w:rPr/>
        <w:t>to</w:t>
      </w:r>
      <w:r>
        <w:rPr>
          <w:spacing w:val="40"/>
        </w:rPr>
        <w:t> </w:t>
      </w:r>
      <w:r>
        <w:rPr/>
        <w:t>fire (CDC, 2007).</w:t>
      </w:r>
      <w:r>
        <w:rPr>
          <w:spacing w:val="40"/>
        </w:rPr>
        <w:t> </w:t>
      </w:r>
      <w:r>
        <w:rPr/>
        <w:t>Typically,</w:t>
      </w:r>
      <w:r>
        <w:rPr>
          <w:spacing w:val="40"/>
        </w:rPr>
        <w:t> </w:t>
      </w:r>
      <w:r>
        <w:rPr/>
        <w:t>fatal exposures to</w:t>
      </w:r>
      <w:r>
        <w:rPr>
          <w:spacing w:val="40"/>
        </w:rPr>
        <w:t> </w:t>
      </w:r>
      <w:r>
        <w:rPr/>
        <w:t>CO produce coma, convulsions, and cardio-respiratory arrest (Wolf </w:t>
      </w:r>
      <w:r>
        <w:rPr>
          <w:i/>
        </w:rPr>
        <w:t>et al</w:t>
      </w:r>
      <w:r>
        <w:rPr/>
        <w:t>., 2008). Symptoms preceeding death can include headache, dizziness, weakness, nausea, vomiting, mental confusion, visual disturbances and loss of consciousness (Choi, 2000). Clinical signs of life-threatening toxicity can include cardiac arrhythmia, myocardial ischaemia, hypotension, pulmonary oedema, and seizures (Kao and Nañagas, 2006).</w:t>
      </w:r>
    </w:p>
    <w:p>
      <w:pPr>
        <w:pStyle w:val="BodyText"/>
      </w:pPr>
    </w:p>
    <w:p>
      <w:pPr>
        <w:pStyle w:val="BodyText"/>
        <w:spacing w:before="15"/>
      </w:pPr>
    </w:p>
    <w:p>
      <w:pPr>
        <w:pStyle w:val="BodyText"/>
        <w:spacing w:line="491" w:lineRule="auto"/>
        <w:ind w:left="665" w:right="894"/>
        <w:jc w:val="both"/>
      </w:pPr>
      <w:r>
        <w:rPr/>
        <w:t>Over</w:t>
      </w:r>
      <w:r>
        <w:rPr>
          <w:spacing w:val="40"/>
        </w:rPr>
        <w:t> </w:t>
      </w:r>
      <w:r>
        <w:rPr/>
        <w:t>400</w:t>
      </w:r>
      <w:r>
        <w:rPr>
          <w:spacing w:val="40"/>
        </w:rPr>
        <w:t> </w:t>
      </w:r>
      <w:r>
        <w:rPr/>
        <w:t>cases</w:t>
      </w:r>
      <w:r>
        <w:rPr>
          <w:spacing w:val="36"/>
        </w:rPr>
        <w:t> </w:t>
      </w:r>
      <w:r>
        <w:rPr/>
        <w:t>of</w:t>
      </w:r>
      <w:r>
        <w:rPr>
          <w:spacing w:val="34"/>
        </w:rPr>
        <w:t> </w:t>
      </w:r>
      <w:r>
        <w:rPr/>
        <w:t>CO</w:t>
      </w:r>
      <w:r>
        <w:rPr>
          <w:spacing w:val="33"/>
        </w:rPr>
        <w:t> </w:t>
      </w:r>
      <w:r>
        <w:rPr/>
        <w:t>poisoning</w:t>
      </w:r>
      <w:r>
        <w:rPr>
          <w:spacing w:val="29"/>
        </w:rPr>
        <w:t> </w:t>
      </w:r>
      <w:r>
        <w:rPr/>
        <w:t>were</w:t>
      </w:r>
      <w:r>
        <w:rPr>
          <w:spacing w:val="38"/>
        </w:rPr>
        <w:t> </w:t>
      </w:r>
      <w:r>
        <w:rPr/>
        <w:t>evaluated</w:t>
      </w:r>
      <w:r>
        <w:rPr>
          <w:spacing w:val="40"/>
        </w:rPr>
        <w:t> </w:t>
      </w:r>
      <w:r>
        <w:rPr/>
        <w:t>at</w:t>
      </w:r>
      <w:r>
        <w:rPr>
          <w:spacing w:val="37"/>
        </w:rPr>
        <w:t> </w:t>
      </w:r>
      <w:r>
        <w:rPr/>
        <w:t>hospitals</w:t>
      </w:r>
      <w:r>
        <w:rPr>
          <w:spacing w:val="36"/>
        </w:rPr>
        <w:t> </w:t>
      </w:r>
      <w:r>
        <w:rPr/>
        <w:t>across</w:t>
      </w:r>
      <w:r>
        <w:rPr>
          <w:spacing w:val="36"/>
        </w:rPr>
        <w:t> </w:t>
      </w:r>
      <w:r>
        <w:rPr/>
        <w:t>United</w:t>
      </w:r>
      <w:r>
        <w:rPr>
          <w:spacing w:val="40"/>
        </w:rPr>
        <w:t> </w:t>
      </w:r>
      <w:r>
        <w:rPr/>
        <w:t>States.</w:t>
      </w:r>
      <w:r>
        <w:rPr>
          <w:spacing w:val="38"/>
        </w:rPr>
        <w:t> </w:t>
      </w:r>
      <w:r>
        <w:rPr/>
        <w:t>Of the 100 poisoned patients who presented to four hospitals, electric generators were involved</w:t>
      </w:r>
      <w:r>
        <w:rPr>
          <w:spacing w:val="30"/>
        </w:rPr>
        <w:t> </w:t>
      </w:r>
      <w:r>
        <w:rPr/>
        <w:t>in</w:t>
      </w:r>
      <w:r>
        <w:rPr>
          <w:spacing w:val="20"/>
        </w:rPr>
        <w:t> </w:t>
      </w:r>
      <w:r>
        <w:rPr/>
        <w:t>74% of</w:t>
      </w:r>
      <w:r>
        <w:rPr>
          <w:spacing w:val="18"/>
        </w:rPr>
        <w:t> </w:t>
      </w:r>
      <w:r>
        <w:rPr/>
        <w:t>cases</w:t>
      </w:r>
      <w:r>
        <w:rPr>
          <w:spacing w:val="20"/>
        </w:rPr>
        <w:t> </w:t>
      </w:r>
      <w:r>
        <w:rPr/>
        <w:t>(Neil </w:t>
      </w:r>
      <w:r>
        <w:rPr>
          <w:i/>
        </w:rPr>
        <w:t>et</w:t>
      </w:r>
      <w:r>
        <w:rPr>
          <w:i/>
          <w:spacing w:val="22"/>
        </w:rPr>
        <w:t> </w:t>
      </w:r>
      <w:r>
        <w:rPr>
          <w:i/>
        </w:rPr>
        <w:t>al</w:t>
      </w:r>
      <w:r>
        <w:rPr/>
        <w:t>.,</w:t>
      </w:r>
      <w:r>
        <w:rPr>
          <w:spacing w:val="23"/>
        </w:rPr>
        <w:t> </w:t>
      </w:r>
      <w:r>
        <w:rPr/>
        <w:t>2005).</w:t>
      </w:r>
      <w:r>
        <w:rPr>
          <w:spacing w:val="23"/>
        </w:rPr>
        <w:t> </w:t>
      </w:r>
      <w:r>
        <w:rPr/>
        <w:t>Electric</w:t>
      </w:r>
      <w:r>
        <w:rPr>
          <w:spacing w:val="28"/>
        </w:rPr>
        <w:t> </w:t>
      </w:r>
      <w:r>
        <w:rPr/>
        <w:t>generators</w:t>
      </w:r>
      <w:r>
        <w:rPr>
          <w:spacing w:val="20"/>
        </w:rPr>
        <w:t> </w:t>
      </w:r>
      <w:r>
        <w:rPr/>
        <w:t>were</w:t>
      </w:r>
      <w:r>
        <w:rPr>
          <w:spacing w:val="22"/>
        </w:rPr>
        <w:t> </w:t>
      </w:r>
      <w:r>
        <w:rPr/>
        <w:t>the</w:t>
      </w:r>
      <w:r>
        <w:rPr>
          <w:spacing w:val="28"/>
        </w:rPr>
        <w:t> </w:t>
      </w:r>
      <w:r>
        <w:rPr/>
        <w:t>CO</w:t>
      </w:r>
      <w:r>
        <w:rPr>
          <w:spacing w:val="22"/>
        </w:rPr>
        <w:t> </w:t>
      </w:r>
      <w:r>
        <w:rPr/>
        <w:t>source</w:t>
      </w:r>
      <w:r>
        <w:rPr>
          <w:spacing w:val="22"/>
        </w:rPr>
        <w:t> </w:t>
      </w:r>
      <w:r>
        <w:rPr/>
        <w:t>in 15 of the 55 exposure incidents, in which a source could be identified. Of the 40 deaths resulting from Hurricane Isabel in September 2003, eight were due to CO poisoning, at least two of which resulted from improperly ventilated electric generators (CNN, 2003). The significance of this problem is apparent. People find generators useful when conventional power is lost or in remote areas not otherwise supplied by electricity. In Nigeria the use of generators is the routine, due to incessant power failures. Certain occupations like commercial motor-drivers, traffic police, cooks in restaurants and fire fighters are at increased risk of poisoning (Sunny </w:t>
      </w:r>
      <w:r>
        <w:rPr>
          <w:i/>
        </w:rPr>
        <w:t>et al.</w:t>
      </w:r>
      <w:r>
        <w:rPr/>
        <w:t>, 2008). It was documented that exhaust from burning wood alone can raise the average levels at home (0.5 - 5 ppm) by about 1000</w:t>
      </w:r>
      <w:r>
        <w:rPr>
          <w:spacing w:val="40"/>
        </w:rPr>
        <w:t> </w:t>
      </w:r>
      <w:r>
        <w:rPr/>
        <w:t>times (USEPA, 1991). Exhaust from automobiles was estimated</w:t>
      </w:r>
      <w:r>
        <w:rPr>
          <w:spacing w:val="40"/>
        </w:rPr>
        <w:t> </w:t>
      </w:r>
      <w:r>
        <w:rPr/>
        <w:t>in the Mexico</w:t>
      </w:r>
      <w:r>
        <w:rPr>
          <w:spacing w:val="39"/>
        </w:rPr>
        <w:t> </w:t>
      </w:r>
      <w:r>
        <w:rPr/>
        <w:t>City</w:t>
      </w:r>
      <w:r>
        <w:rPr>
          <w:spacing w:val="28"/>
        </w:rPr>
        <w:t> </w:t>
      </w:r>
      <w:r>
        <w:rPr/>
        <w:t>central</w:t>
      </w:r>
      <w:r>
        <w:rPr>
          <w:spacing w:val="36"/>
        </w:rPr>
        <w:t> </w:t>
      </w:r>
      <w:r>
        <w:rPr/>
        <w:t>area</w:t>
      </w:r>
      <w:r>
        <w:rPr>
          <w:spacing w:val="32"/>
        </w:rPr>
        <w:t> </w:t>
      </w:r>
      <w:r>
        <w:rPr/>
        <w:t>to</w:t>
      </w:r>
      <w:r>
        <w:rPr>
          <w:spacing w:val="39"/>
        </w:rPr>
        <w:t> </w:t>
      </w:r>
      <w:r>
        <w:rPr/>
        <w:t>be</w:t>
      </w:r>
      <w:r>
        <w:rPr>
          <w:spacing w:val="32"/>
        </w:rPr>
        <w:t> </w:t>
      </w:r>
      <w:r>
        <w:rPr/>
        <w:t>100</w:t>
      </w:r>
      <w:r>
        <w:rPr>
          <w:spacing w:val="40"/>
        </w:rPr>
        <w:t> </w:t>
      </w:r>
      <w:r>
        <w:rPr/>
        <w:t>-</w:t>
      </w:r>
      <w:r>
        <w:rPr>
          <w:spacing w:val="33"/>
        </w:rPr>
        <w:t> </w:t>
      </w:r>
      <w:r>
        <w:rPr/>
        <w:t>200</w:t>
      </w:r>
      <w:r>
        <w:rPr>
          <w:spacing w:val="40"/>
        </w:rPr>
        <w:t> </w:t>
      </w:r>
      <w:r>
        <w:rPr/>
        <w:t>ppm.</w:t>
      </w:r>
      <w:r>
        <w:rPr>
          <w:spacing w:val="38"/>
        </w:rPr>
        <w:t> </w:t>
      </w:r>
      <w:r>
        <w:rPr/>
        <w:t>Cigarette</w:t>
      </w:r>
      <w:r>
        <w:rPr>
          <w:spacing w:val="40"/>
        </w:rPr>
        <w:t> </w:t>
      </w:r>
      <w:r>
        <w:rPr/>
        <w:t>smoking</w:t>
      </w:r>
      <w:r>
        <w:rPr>
          <w:spacing w:val="34"/>
        </w:rPr>
        <w:t> </w:t>
      </w:r>
      <w:r>
        <w:rPr/>
        <w:t>has</w:t>
      </w:r>
      <w:r>
        <w:rPr>
          <w:spacing w:val="35"/>
        </w:rPr>
        <w:t> </w:t>
      </w:r>
      <w:r>
        <w:rPr/>
        <w:t>been</w:t>
      </w:r>
      <w:r>
        <w:rPr>
          <w:spacing w:val="34"/>
        </w:rPr>
        <w:t> </w:t>
      </w:r>
      <w:r>
        <w:rPr/>
        <w:t>shown</w:t>
      </w:r>
      <w:r>
        <w:rPr>
          <w:spacing w:val="28"/>
        </w:rPr>
        <w:t> </w:t>
      </w:r>
      <w:r>
        <w:rPr/>
        <w:t>to</w:t>
      </w:r>
    </w:p>
    <w:p>
      <w:pPr>
        <w:spacing w:after="0" w:line="491" w:lineRule="auto"/>
        <w:jc w:val="both"/>
        <w:sectPr>
          <w:pgSz w:w="12240" w:h="15840"/>
          <w:pgMar w:header="0" w:footer="916" w:top="1260" w:bottom="1100" w:left="1720" w:right="960"/>
        </w:sectPr>
      </w:pPr>
    </w:p>
    <w:p>
      <w:pPr>
        <w:pStyle w:val="BodyText"/>
        <w:spacing w:line="491" w:lineRule="auto" w:before="75"/>
        <w:ind w:left="665" w:right="899"/>
        <w:jc w:val="both"/>
      </w:pPr>
      <w:r>
        <w:rPr/>
        <w:t>have</w:t>
      </w:r>
      <w:r>
        <w:rPr>
          <w:spacing w:val="37"/>
        </w:rPr>
        <w:t> </w:t>
      </w:r>
      <w:r>
        <w:rPr/>
        <w:t>a</w:t>
      </w:r>
      <w:r>
        <w:rPr>
          <w:spacing w:val="32"/>
        </w:rPr>
        <w:t> </w:t>
      </w:r>
      <w:r>
        <w:rPr/>
        <w:t>dominant</w:t>
      </w:r>
      <w:r>
        <w:rPr>
          <w:spacing w:val="36"/>
        </w:rPr>
        <w:t> </w:t>
      </w:r>
      <w:r>
        <w:rPr/>
        <w:t>influence</w:t>
      </w:r>
      <w:r>
        <w:rPr>
          <w:spacing w:val="37"/>
        </w:rPr>
        <w:t> </w:t>
      </w:r>
      <w:r>
        <w:rPr/>
        <w:t>on</w:t>
      </w:r>
      <w:r>
        <w:rPr>
          <w:spacing w:val="28"/>
        </w:rPr>
        <w:t> </w:t>
      </w:r>
      <w:r>
        <w:rPr/>
        <w:t>increased</w:t>
      </w:r>
      <w:r>
        <w:rPr>
          <w:spacing w:val="38"/>
        </w:rPr>
        <w:t> </w:t>
      </w:r>
      <w:r>
        <w:rPr/>
        <w:t>CO</w:t>
      </w:r>
      <w:r>
        <w:rPr>
          <w:spacing w:val="36"/>
        </w:rPr>
        <w:t> </w:t>
      </w:r>
      <w:r>
        <w:rPr/>
        <w:t>exposure</w:t>
      </w:r>
      <w:r>
        <w:rPr>
          <w:spacing w:val="37"/>
        </w:rPr>
        <w:t> </w:t>
      </w:r>
      <w:r>
        <w:rPr/>
        <w:t>(Whincup</w:t>
      </w:r>
      <w:r>
        <w:rPr>
          <w:spacing w:val="40"/>
        </w:rPr>
        <w:t> </w:t>
      </w:r>
      <w:r>
        <w:rPr>
          <w:i/>
        </w:rPr>
        <w:t>et</w:t>
      </w:r>
      <w:r>
        <w:rPr>
          <w:i/>
          <w:spacing w:val="31"/>
        </w:rPr>
        <w:t> </w:t>
      </w:r>
      <w:r>
        <w:rPr>
          <w:i/>
        </w:rPr>
        <w:t>al</w:t>
      </w:r>
      <w:r>
        <w:rPr/>
        <w:t>.,</w:t>
      </w:r>
      <w:r>
        <w:rPr>
          <w:spacing w:val="32"/>
        </w:rPr>
        <w:t> </w:t>
      </w:r>
      <w:r>
        <w:rPr/>
        <w:t>2006,</w:t>
      </w:r>
      <w:r>
        <w:rPr>
          <w:spacing w:val="32"/>
        </w:rPr>
        <w:t> </w:t>
      </w:r>
      <w:r>
        <w:rPr/>
        <w:t>Fidan</w:t>
      </w:r>
      <w:r>
        <w:rPr>
          <w:spacing w:val="28"/>
        </w:rPr>
        <w:t> </w:t>
      </w:r>
      <w:r>
        <w:rPr>
          <w:i/>
        </w:rPr>
        <w:t>et al</w:t>
      </w:r>
      <w:r>
        <w:rPr/>
        <w:t>., 2007). During pregnancy, increased maternal COHb levels of 0.7 – 2.5 % have been reported,</w:t>
      </w:r>
      <w:r>
        <w:rPr>
          <w:spacing w:val="31"/>
        </w:rPr>
        <w:t> </w:t>
      </w:r>
      <w:r>
        <w:rPr/>
        <w:t>and</w:t>
      </w:r>
      <w:r>
        <w:rPr>
          <w:spacing w:val="29"/>
        </w:rPr>
        <w:t> </w:t>
      </w:r>
      <w:r>
        <w:rPr/>
        <w:t>the</w:t>
      </w:r>
      <w:r>
        <w:rPr>
          <w:spacing w:val="26"/>
        </w:rPr>
        <w:t> </w:t>
      </w:r>
      <w:r>
        <w:rPr/>
        <w:t>foetuses</w:t>
      </w:r>
      <w:r>
        <w:rPr>
          <w:spacing w:val="24"/>
        </w:rPr>
        <w:t> </w:t>
      </w:r>
      <w:r>
        <w:rPr/>
        <w:t>of</w:t>
      </w:r>
      <w:r>
        <w:rPr>
          <w:spacing w:val="28"/>
        </w:rPr>
        <w:t> </w:t>
      </w:r>
      <w:r>
        <w:rPr/>
        <w:t>non-smoking</w:t>
      </w:r>
      <w:r>
        <w:rPr>
          <w:spacing w:val="22"/>
        </w:rPr>
        <w:t> </w:t>
      </w:r>
      <w:r>
        <w:rPr/>
        <w:t>mothers</w:t>
      </w:r>
      <w:r>
        <w:rPr>
          <w:spacing w:val="30"/>
        </w:rPr>
        <w:t> </w:t>
      </w:r>
      <w:r>
        <w:rPr/>
        <w:t>have</w:t>
      </w:r>
      <w:r>
        <w:rPr>
          <w:spacing w:val="32"/>
        </w:rPr>
        <w:t> </w:t>
      </w:r>
      <w:r>
        <w:rPr/>
        <w:t>also</w:t>
      </w:r>
      <w:r>
        <w:rPr>
          <w:spacing w:val="34"/>
        </w:rPr>
        <w:t> </w:t>
      </w:r>
      <w:r>
        <w:rPr/>
        <w:t>shown</w:t>
      </w:r>
      <w:r>
        <w:rPr>
          <w:spacing w:val="23"/>
        </w:rPr>
        <w:t> </w:t>
      </w:r>
      <w:r>
        <w:rPr/>
        <w:t>elevated</w:t>
      </w:r>
      <w:r>
        <w:rPr>
          <w:spacing w:val="34"/>
        </w:rPr>
        <w:t> </w:t>
      </w:r>
      <w:r>
        <w:rPr/>
        <w:t>levels</w:t>
      </w:r>
      <w:r>
        <w:rPr>
          <w:spacing w:val="24"/>
        </w:rPr>
        <w:t> </w:t>
      </w:r>
      <w:r>
        <w:rPr>
          <w:spacing w:val="-5"/>
        </w:rPr>
        <w:t>of</w:t>
      </w:r>
    </w:p>
    <w:p>
      <w:pPr>
        <w:pStyle w:val="BodyText"/>
        <w:spacing w:line="491" w:lineRule="auto"/>
        <w:ind w:left="665" w:right="903"/>
        <w:jc w:val="both"/>
      </w:pPr>
      <w:r>
        <w:rPr/>
        <w:t>0.4 – 2.6 %. Hyper-metabolism, certain drugs and haemolytic anaemia can increase endogenous COHb</w:t>
      </w:r>
      <w:r>
        <w:rPr>
          <w:spacing w:val="32"/>
        </w:rPr>
        <w:t> </w:t>
      </w:r>
      <w:r>
        <w:rPr/>
        <w:t>levels by up to 4 – 6 % (Leon </w:t>
      </w:r>
      <w:r>
        <w:rPr>
          <w:i/>
        </w:rPr>
        <w:t>et al</w:t>
      </w:r>
      <w:r>
        <w:rPr/>
        <w:t>., 2007).</w:t>
      </w:r>
    </w:p>
    <w:p>
      <w:pPr>
        <w:pStyle w:val="BodyText"/>
      </w:pPr>
    </w:p>
    <w:p>
      <w:pPr>
        <w:pStyle w:val="BodyText"/>
        <w:spacing w:before="16"/>
      </w:pPr>
    </w:p>
    <w:p>
      <w:pPr>
        <w:pStyle w:val="Heading3"/>
        <w:numPr>
          <w:ilvl w:val="2"/>
          <w:numId w:val="16"/>
        </w:numPr>
        <w:tabs>
          <w:tab w:pos="1171" w:val="left" w:leader="none"/>
        </w:tabs>
        <w:spacing w:line="240" w:lineRule="auto" w:before="0" w:after="0"/>
        <w:ind w:left="1171" w:right="0" w:hanging="506"/>
        <w:jc w:val="both"/>
      </w:pPr>
      <w:bookmarkStart w:name="_TOC_250032" w:id="25"/>
      <w:r>
        <w:rPr/>
        <w:t>Neurological</w:t>
      </w:r>
      <w:r>
        <w:rPr>
          <w:spacing w:val="23"/>
        </w:rPr>
        <w:t> </w:t>
      </w:r>
      <w:bookmarkEnd w:id="25"/>
      <w:r>
        <w:rPr>
          <w:spacing w:val="-2"/>
        </w:rPr>
        <w:t>effects</w:t>
      </w:r>
    </w:p>
    <w:p>
      <w:pPr>
        <w:pStyle w:val="BodyText"/>
        <w:spacing w:before="8"/>
        <w:rPr>
          <w:b/>
        </w:rPr>
      </w:pPr>
    </w:p>
    <w:p>
      <w:pPr>
        <w:pStyle w:val="BodyText"/>
        <w:spacing w:line="491" w:lineRule="auto"/>
        <w:ind w:left="665" w:right="896"/>
        <w:jc w:val="both"/>
      </w:pPr>
      <w:r>
        <w:rPr/>
        <w:t>Acute, high level exposure produces symptoms of CNS toxicity such as headache, dizziness,</w:t>
      </w:r>
      <w:r>
        <w:rPr>
          <w:spacing w:val="40"/>
        </w:rPr>
        <w:t> </w:t>
      </w:r>
      <w:r>
        <w:rPr/>
        <w:t>drowsiness,</w:t>
      </w:r>
      <w:r>
        <w:rPr>
          <w:spacing w:val="40"/>
        </w:rPr>
        <w:t> </w:t>
      </w:r>
      <w:r>
        <w:rPr/>
        <w:t>weakness,</w:t>
      </w:r>
      <w:r>
        <w:rPr>
          <w:spacing w:val="40"/>
        </w:rPr>
        <w:t> </w:t>
      </w:r>
      <w:r>
        <w:rPr/>
        <w:t>nausea,</w:t>
      </w:r>
      <w:r>
        <w:rPr>
          <w:spacing w:val="40"/>
        </w:rPr>
        <w:t> </w:t>
      </w:r>
      <w:r>
        <w:rPr/>
        <w:t>vomiting,</w:t>
      </w:r>
      <w:r>
        <w:rPr>
          <w:spacing w:val="40"/>
        </w:rPr>
        <w:t> </w:t>
      </w:r>
      <w:r>
        <w:rPr/>
        <w:t>confusion,</w:t>
      </w:r>
      <w:r>
        <w:rPr>
          <w:spacing w:val="40"/>
        </w:rPr>
        <w:t> </w:t>
      </w:r>
      <w:r>
        <w:rPr/>
        <w:t>disorientation, irritability, visual disturbances, convulsions, and coma (USEPA 1991; Ernst and Zibrak, 2004).</w:t>
      </w:r>
      <w:r>
        <w:rPr>
          <w:spacing w:val="40"/>
        </w:rPr>
        <w:t> </w:t>
      </w:r>
      <w:r>
        <w:rPr/>
        <w:t>Symptoms</w:t>
      </w:r>
      <w:r>
        <w:rPr>
          <w:spacing w:val="40"/>
        </w:rPr>
        <w:t> </w:t>
      </w:r>
      <w:r>
        <w:rPr/>
        <w:t>vary</w:t>
      </w:r>
      <w:r>
        <w:rPr>
          <w:spacing w:val="40"/>
        </w:rPr>
        <w:t> </w:t>
      </w:r>
      <w:r>
        <w:rPr/>
        <w:t>depending</w:t>
      </w:r>
      <w:r>
        <w:rPr>
          <w:spacing w:val="40"/>
        </w:rPr>
        <w:t> </w:t>
      </w:r>
      <w:r>
        <w:rPr/>
        <w:t>on</w:t>
      </w:r>
      <w:r>
        <w:rPr>
          <w:spacing w:val="40"/>
        </w:rPr>
        <w:t> </w:t>
      </w:r>
      <w:r>
        <w:rPr/>
        <w:t>the</w:t>
      </w:r>
      <w:r>
        <w:rPr>
          <w:spacing w:val="40"/>
        </w:rPr>
        <w:t> </w:t>
      </w:r>
      <w:r>
        <w:rPr/>
        <w:t>degree</w:t>
      </w:r>
      <w:r>
        <w:rPr>
          <w:spacing w:val="40"/>
        </w:rPr>
        <w:t> </w:t>
      </w:r>
      <w:r>
        <w:rPr/>
        <w:t>of</w:t>
      </w:r>
      <w:r>
        <w:rPr>
          <w:spacing w:val="40"/>
        </w:rPr>
        <w:t> </w:t>
      </w:r>
      <w:r>
        <w:rPr/>
        <w:t>exposure</w:t>
      </w:r>
      <w:r>
        <w:rPr>
          <w:spacing w:val="40"/>
        </w:rPr>
        <w:t> </w:t>
      </w:r>
      <w:r>
        <w:rPr/>
        <w:t>and</w:t>
      </w:r>
      <w:r>
        <w:rPr>
          <w:spacing w:val="40"/>
        </w:rPr>
        <w:t> </w:t>
      </w:r>
      <w:r>
        <w:rPr/>
        <w:t>concentration; headache and dizziness are the most commonly reported symptoms (Ernst and Zibrak, 2004).</w:t>
      </w:r>
      <w:r>
        <w:rPr>
          <w:spacing w:val="40"/>
        </w:rPr>
        <w:t> </w:t>
      </w:r>
      <w:r>
        <w:rPr/>
        <w:t>Poisoned</w:t>
      </w:r>
      <w:r>
        <w:rPr>
          <w:spacing w:val="40"/>
        </w:rPr>
        <w:t> </w:t>
      </w:r>
      <w:r>
        <w:rPr/>
        <w:t>patients</w:t>
      </w:r>
      <w:r>
        <w:rPr>
          <w:spacing w:val="40"/>
        </w:rPr>
        <w:t> </w:t>
      </w:r>
      <w:r>
        <w:rPr/>
        <w:t>show</w:t>
      </w:r>
      <w:r>
        <w:rPr>
          <w:spacing w:val="40"/>
        </w:rPr>
        <w:t> </w:t>
      </w:r>
      <w:r>
        <w:rPr/>
        <w:t>Basal</w:t>
      </w:r>
      <w:r>
        <w:rPr>
          <w:spacing w:val="40"/>
        </w:rPr>
        <w:t> </w:t>
      </w:r>
      <w:r>
        <w:rPr/>
        <w:t>ganglia</w:t>
      </w:r>
      <w:r>
        <w:rPr>
          <w:spacing w:val="40"/>
        </w:rPr>
        <w:t> </w:t>
      </w:r>
      <w:r>
        <w:rPr/>
        <w:t>(primarily</w:t>
      </w:r>
      <w:r>
        <w:rPr>
          <w:spacing w:val="40"/>
        </w:rPr>
        <w:t> </w:t>
      </w:r>
      <w:r>
        <w:rPr/>
        <w:t>of</w:t>
      </w:r>
      <w:r>
        <w:rPr>
          <w:spacing w:val="40"/>
        </w:rPr>
        <w:t> </w:t>
      </w:r>
      <w:r>
        <w:rPr/>
        <w:t>the</w:t>
      </w:r>
      <w:r>
        <w:rPr>
          <w:spacing w:val="40"/>
        </w:rPr>
        <w:t> </w:t>
      </w:r>
      <w:r>
        <w:rPr>
          <w:i/>
        </w:rPr>
        <w:t>globus</w:t>
      </w:r>
      <w:r>
        <w:rPr>
          <w:i/>
          <w:spacing w:val="40"/>
        </w:rPr>
        <w:t> </w:t>
      </w:r>
      <w:r>
        <w:rPr>
          <w:i/>
        </w:rPr>
        <w:t>pallidus</w:t>
      </w:r>
      <w:r>
        <w:rPr/>
        <w:t>)</w:t>
      </w:r>
      <w:r>
        <w:rPr>
          <w:spacing w:val="40"/>
        </w:rPr>
        <w:t> </w:t>
      </w:r>
      <w:r>
        <w:rPr/>
        <w:t>and white matter lesions after neuroimaging (Hopkins </w:t>
      </w:r>
      <w:r>
        <w:rPr>
          <w:i/>
        </w:rPr>
        <w:t>et al</w:t>
      </w:r>
      <w:r>
        <w:rPr/>
        <w:t>., 2006; Kao and Nañagas, 2006;</w:t>
      </w:r>
      <w:r>
        <w:rPr>
          <w:spacing w:val="40"/>
        </w:rPr>
        <w:t> </w:t>
      </w:r>
      <w:r>
        <w:rPr/>
        <w:t>Lo </w:t>
      </w:r>
      <w:r>
        <w:rPr>
          <w:i/>
        </w:rPr>
        <w:t>et al</w:t>
      </w:r>
      <w:r>
        <w:rPr/>
        <w:t>., 2007).</w:t>
      </w:r>
    </w:p>
    <w:p>
      <w:pPr>
        <w:pStyle w:val="BodyText"/>
        <w:spacing w:line="491" w:lineRule="auto" w:before="3"/>
        <w:ind w:left="665" w:right="898"/>
        <w:jc w:val="both"/>
      </w:pPr>
      <w:r>
        <w:rPr/>
        <w:t>Delayed development of neuropsychiatric impairment may occur within one month of exposure, and symptoms such as inappropriate euphoria, impaired judgment, poor concentration, memory loss, cognitive and personality changes, and psychosis were estimated to have occurred in up to 68% of patients with acute poisoning (Ernst and Zibrak, 2004; Kao and Nañagas, 2006; Wolf, </w:t>
      </w:r>
      <w:r>
        <w:rPr>
          <w:i/>
        </w:rPr>
        <w:t>et al</w:t>
      </w:r>
      <w:r>
        <w:rPr/>
        <w:t>., 2008). The relationship between</w:t>
      </w:r>
      <w:r>
        <w:rPr>
          <w:spacing w:val="40"/>
        </w:rPr>
        <w:t> </w:t>
      </w:r>
      <w:r>
        <w:rPr/>
        <w:t>initial symptom severity and the likelihood of developing of delayed neuropsychiatric impairment has not been established. However, Kao and Nañagas (2006) concluded that patients with more severe initial symptoms are more likely to develop delayed neuropsychiatric impairment.</w:t>
      </w:r>
    </w:p>
    <w:p>
      <w:pPr>
        <w:spacing w:after="0" w:line="491" w:lineRule="auto"/>
        <w:jc w:val="both"/>
        <w:sectPr>
          <w:pgSz w:w="12240" w:h="15840"/>
          <w:pgMar w:header="0" w:footer="916" w:top="1260" w:bottom="1100" w:left="1720" w:right="960"/>
        </w:sectPr>
      </w:pPr>
    </w:p>
    <w:p>
      <w:pPr>
        <w:pStyle w:val="BodyText"/>
        <w:spacing w:line="491" w:lineRule="auto" w:before="75"/>
        <w:ind w:left="665" w:right="895"/>
        <w:jc w:val="both"/>
      </w:pPr>
      <w:r>
        <w:rPr/>
        <w:t>Mechanisms of acute and delayed adverse nervous system effects have not been conclusively established. Tissue hypoxia, in association with high levels of blood COHb (&gt;</w:t>
      </w:r>
      <w:r>
        <w:rPr>
          <w:spacing w:val="40"/>
        </w:rPr>
        <w:t> </w:t>
      </w:r>
      <w:r>
        <w:rPr/>
        <w:t>60%); direct cellular</w:t>
      </w:r>
      <w:r>
        <w:rPr>
          <w:spacing w:val="40"/>
        </w:rPr>
        <w:t> </w:t>
      </w:r>
      <w:r>
        <w:rPr/>
        <w:t>effects</w:t>
      </w:r>
      <w:r>
        <w:rPr>
          <w:spacing w:val="40"/>
        </w:rPr>
        <w:t> </w:t>
      </w:r>
      <w:r>
        <w:rPr/>
        <w:t>of</w:t>
      </w:r>
      <w:r>
        <w:rPr>
          <w:spacing w:val="40"/>
        </w:rPr>
        <w:t> </w:t>
      </w:r>
      <w:r>
        <w:rPr/>
        <w:t>CO</w:t>
      </w:r>
      <w:r>
        <w:rPr>
          <w:spacing w:val="40"/>
        </w:rPr>
        <w:t> </w:t>
      </w:r>
      <w:r>
        <w:rPr/>
        <w:t>(e.g.,</w:t>
      </w:r>
      <w:r>
        <w:rPr>
          <w:spacing w:val="40"/>
        </w:rPr>
        <w:t> </w:t>
      </w:r>
      <w:r>
        <w:rPr/>
        <w:t>ATP</w:t>
      </w:r>
      <w:r>
        <w:rPr>
          <w:spacing w:val="40"/>
        </w:rPr>
        <w:t> </w:t>
      </w:r>
      <w:r>
        <w:rPr/>
        <w:t>depletion,</w:t>
      </w:r>
      <w:r>
        <w:rPr>
          <w:spacing w:val="40"/>
        </w:rPr>
        <w:t> </w:t>
      </w:r>
      <w:r>
        <w:rPr/>
        <w:t>excitotoxicty,</w:t>
      </w:r>
      <w:r>
        <w:rPr>
          <w:spacing w:val="40"/>
        </w:rPr>
        <w:t> </w:t>
      </w:r>
      <w:r>
        <w:rPr/>
        <w:t>oxidative stress, and immunological responses) and post-ischaemic reperfusion injury were all contributing factors to neurotoxicity (Gorman </w:t>
      </w:r>
      <w:r>
        <w:rPr>
          <w:i/>
        </w:rPr>
        <w:t>et al</w:t>
      </w:r>
      <w:r>
        <w:rPr/>
        <w:t>., 1992; Ernst and Zibrak, 2004; Kao and</w:t>
      </w:r>
      <w:r>
        <w:rPr>
          <w:spacing w:val="40"/>
        </w:rPr>
        <w:t> </w:t>
      </w:r>
      <w:r>
        <w:rPr/>
        <w:t>Nañagas,</w:t>
      </w:r>
      <w:r>
        <w:rPr>
          <w:spacing w:val="40"/>
        </w:rPr>
        <w:t> </w:t>
      </w:r>
      <w:r>
        <w:rPr/>
        <w:t>2006).</w:t>
      </w:r>
      <w:r>
        <w:rPr>
          <w:spacing w:val="40"/>
        </w:rPr>
        <w:t> </w:t>
      </w:r>
      <w:r>
        <w:rPr/>
        <w:t>Compensatory mechanisms</w:t>
      </w:r>
      <w:r>
        <w:rPr>
          <w:spacing w:val="40"/>
        </w:rPr>
        <w:t> </w:t>
      </w:r>
      <w:r>
        <w:rPr/>
        <w:t>such as</w:t>
      </w:r>
      <w:r>
        <w:rPr>
          <w:spacing w:val="40"/>
        </w:rPr>
        <w:t> </w:t>
      </w:r>
      <w:r>
        <w:rPr/>
        <w:t>cerebrovascular</w:t>
      </w:r>
      <w:r>
        <w:rPr>
          <w:spacing w:val="40"/>
        </w:rPr>
        <w:t> </w:t>
      </w:r>
      <w:r>
        <w:rPr/>
        <w:t>vasodilation and</w:t>
      </w:r>
      <w:r>
        <w:rPr>
          <w:spacing w:val="40"/>
        </w:rPr>
        <w:t> </w:t>
      </w:r>
      <w:r>
        <w:rPr/>
        <w:t>increased cardiac output occur</w:t>
      </w:r>
      <w:r>
        <w:rPr>
          <w:spacing w:val="40"/>
        </w:rPr>
        <w:t> </w:t>
      </w:r>
      <w:r>
        <w:rPr/>
        <w:t>in order to maintain O</w:t>
      </w:r>
      <w:r>
        <w:rPr>
          <w:vertAlign w:val="subscript"/>
        </w:rPr>
        <w:t>2</w:t>
      </w:r>
      <w:r>
        <w:rPr>
          <w:vertAlign w:val="baseline"/>
        </w:rPr>
        <w:t> delivery to</w:t>
      </w:r>
      <w:r>
        <w:rPr>
          <w:spacing w:val="40"/>
          <w:vertAlign w:val="baseline"/>
        </w:rPr>
        <w:t> </w:t>
      </w:r>
      <w:r>
        <w:rPr>
          <w:vertAlign w:val="baseline"/>
        </w:rPr>
        <w:t>the brain, especially</w:t>
      </w:r>
      <w:r>
        <w:rPr>
          <w:spacing w:val="38"/>
          <w:vertAlign w:val="baseline"/>
        </w:rPr>
        <w:t> </w:t>
      </w:r>
      <w:r>
        <w:rPr>
          <w:vertAlign w:val="baseline"/>
        </w:rPr>
        <w:t>under</w:t>
      </w:r>
      <w:r>
        <w:rPr>
          <w:spacing w:val="40"/>
          <w:vertAlign w:val="baseline"/>
        </w:rPr>
        <w:t> </w:t>
      </w:r>
      <w:r>
        <w:rPr>
          <w:vertAlign w:val="baseline"/>
        </w:rPr>
        <w:t>hypoxia</w:t>
      </w:r>
      <w:r>
        <w:rPr>
          <w:spacing w:val="40"/>
          <w:vertAlign w:val="baseline"/>
        </w:rPr>
        <w:t> </w:t>
      </w:r>
      <w:r>
        <w:rPr>
          <w:vertAlign w:val="baseline"/>
        </w:rPr>
        <w:t>induced</w:t>
      </w:r>
      <w:r>
        <w:rPr>
          <w:spacing w:val="40"/>
          <w:vertAlign w:val="baseline"/>
        </w:rPr>
        <w:t> </w:t>
      </w:r>
      <w:r>
        <w:rPr>
          <w:vertAlign w:val="baseline"/>
        </w:rPr>
        <w:t>by</w:t>
      </w:r>
      <w:r>
        <w:rPr>
          <w:spacing w:val="32"/>
          <w:vertAlign w:val="baseline"/>
        </w:rPr>
        <w:t> </w:t>
      </w:r>
      <w:r>
        <w:rPr>
          <w:vertAlign w:val="baseline"/>
        </w:rPr>
        <w:t>COHb</w:t>
      </w:r>
      <w:r>
        <w:rPr>
          <w:spacing w:val="40"/>
          <w:vertAlign w:val="baseline"/>
        </w:rPr>
        <w:t> </w:t>
      </w:r>
      <w:r>
        <w:rPr>
          <w:vertAlign w:val="baseline"/>
        </w:rPr>
        <w:t>formation</w:t>
      </w:r>
      <w:r>
        <w:rPr>
          <w:spacing w:val="40"/>
          <w:vertAlign w:val="baseline"/>
        </w:rPr>
        <w:t> </w:t>
      </w:r>
      <w:r>
        <w:rPr>
          <w:vertAlign w:val="baseline"/>
        </w:rPr>
        <w:t>(Gorman</w:t>
      </w:r>
      <w:r>
        <w:rPr>
          <w:spacing w:val="40"/>
          <w:vertAlign w:val="baseline"/>
        </w:rPr>
        <w:t> </w:t>
      </w:r>
      <w:r>
        <w:rPr>
          <w:i/>
          <w:vertAlign w:val="baseline"/>
        </w:rPr>
        <w:t>et</w:t>
      </w:r>
      <w:r>
        <w:rPr>
          <w:i/>
          <w:spacing w:val="40"/>
          <w:vertAlign w:val="baseline"/>
        </w:rPr>
        <w:t> </w:t>
      </w:r>
      <w:r>
        <w:rPr>
          <w:i/>
          <w:vertAlign w:val="baseline"/>
        </w:rPr>
        <w:t>al</w:t>
      </w:r>
      <w:r>
        <w:rPr>
          <w:vertAlign w:val="baseline"/>
        </w:rPr>
        <w:t>.,</w:t>
      </w:r>
      <w:r>
        <w:rPr>
          <w:spacing w:val="40"/>
          <w:vertAlign w:val="baseline"/>
        </w:rPr>
        <w:t> </w:t>
      </w:r>
      <w:r>
        <w:rPr>
          <w:vertAlign w:val="baseline"/>
        </w:rPr>
        <w:t>1992;</w:t>
      </w:r>
      <w:r>
        <w:rPr>
          <w:spacing w:val="40"/>
          <w:vertAlign w:val="baseline"/>
        </w:rPr>
        <w:t> </w:t>
      </w:r>
      <w:r>
        <w:rPr>
          <w:vertAlign w:val="baseline"/>
        </w:rPr>
        <w:t>Helfaer and Traystman, 1996; WHO 2000; Raub and Benignus, 2002). In healthy individuals, cardiovascular compensation effectively maintains whole brain O</w:t>
      </w:r>
      <w:r>
        <w:rPr>
          <w:vertAlign w:val="subscript"/>
        </w:rPr>
        <w:t>2</w:t>
      </w:r>
      <w:r>
        <w:rPr>
          <w:vertAlign w:val="baseline"/>
        </w:rPr>
        <w:t> delivery up to COHb levels of approximately 60% (USEPA, 1991). However, there was heterogeneous blood flow among different brain regions based on studies in animals. Despite these cardiovascular</w:t>
      </w:r>
      <w:r>
        <w:rPr>
          <w:spacing w:val="34"/>
          <w:vertAlign w:val="baseline"/>
        </w:rPr>
        <w:t> </w:t>
      </w:r>
      <w:r>
        <w:rPr>
          <w:vertAlign w:val="baseline"/>
        </w:rPr>
        <w:t>compensatory actions,</w:t>
      </w:r>
      <w:r>
        <w:rPr>
          <w:spacing w:val="33"/>
          <w:vertAlign w:val="baseline"/>
        </w:rPr>
        <w:t> </w:t>
      </w:r>
      <w:r>
        <w:rPr>
          <w:vertAlign w:val="baseline"/>
        </w:rPr>
        <w:t>Raub</w:t>
      </w:r>
      <w:r>
        <w:rPr>
          <w:spacing w:val="35"/>
          <w:vertAlign w:val="baseline"/>
        </w:rPr>
        <w:t> </w:t>
      </w:r>
      <w:r>
        <w:rPr>
          <w:vertAlign w:val="baseline"/>
        </w:rPr>
        <w:t>and</w:t>
      </w:r>
      <w:r>
        <w:rPr>
          <w:spacing w:val="35"/>
          <w:vertAlign w:val="baseline"/>
        </w:rPr>
        <w:t> </w:t>
      </w:r>
      <w:r>
        <w:rPr>
          <w:vertAlign w:val="baseline"/>
        </w:rPr>
        <w:t>Benignus (2002) reported</w:t>
      </w:r>
      <w:r>
        <w:rPr>
          <w:spacing w:val="35"/>
          <w:vertAlign w:val="baseline"/>
        </w:rPr>
        <w:t> </w:t>
      </w:r>
      <w:r>
        <w:rPr>
          <w:vertAlign w:val="baseline"/>
        </w:rPr>
        <w:t>that</w:t>
      </w:r>
      <w:r>
        <w:rPr>
          <w:spacing w:val="39"/>
          <w:vertAlign w:val="baseline"/>
        </w:rPr>
        <w:t> </w:t>
      </w:r>
      <w:r>
        <w:rPr>
          <w:vertAlign w:val="baseline"/>
        </w:rPr>
        <w:t>cerebral O</w:t>
      </w:r>
      <w:r>
        <w:rPr>
          <w:vertAlign w:val="subscript"/>
        </w:rPr>
        <w:t>2</w:t>
      </w:r>
      <w:r>
        <w:rPr>
          <w:vertAlign w:val="baseline"/>
        </w:rPr>
        <w:t> consumption declines as blood COHb levels increase, with statistically significant decreases at COHb levels of 30 – 50%. Results of an analysis conducted by USEPA (1991)</w:t>
      </w:r>
      <w:r>
        <w:rPr>
          <w:spacing w:val="40"/>
          <w:vertAlign w:val="baseline"/>
        </w:rPr>
        <w:t> </w:t>
      </w:r>
      <w:r>
        <w:rPr>
          <w:vertAlign w:val="baseline"/>
        </w:rPr>
        <w:t>of</w:t>
      </w:r>
      <w:r>
        <w:rPr>
          <w:spacing w:val="40"/>
          <w:vertAlign w:val="baseline"/>
        </w:rPr>
        <w:t> </w:t>
      </w:r>
      <w:r>
        <w:rPr>
          <w:vertAlign w:val="baseline"/>
        </w:rPr>
        <w:t>data obtained</w:t>
      </w:r>
      <w:r>
        <w:rPr>
          <w:spacing w:val="40"/>
          <w:vertAlign w:val="baseline"/>
        </w:rPr>
        <w:t> </w:t>
      </w:r>
      <w:r>
        <w:rPr>
          <w:vertAlign w:val="baseline"/>
        </w:rPr>
        <w:t>from</w:t>
      </w:r>
      <w:r>
        <w:rPr>
          <w:spacing w:val="40"/>
          <w:vertAlign w:val="baseline"/>
        </w:rPr>
        <w:t> </w:t>
      </w:r>
      <w:r>
        <w:rPr>
          <w:vertAlign w:val="baseline"/>
        </w:rPr>
        <w:t>goats</w:t>
      </w:r>
      <w:r>
        <w:rPr>
          <w:spacing w:val="40"/>
          <w:vertAlign w:val="baseline"/>
        </w:rPr>
        <w:t> </w:t>
      </w:r>
      <w:r>
        <w:rPr>
          <w:vertAlign w:val="baseline"/>
        </w:rPr>
        <w:t>(Doblar</w:t>
      </w:r>
      <w:r>
        <w:rPr>
          <w:spacing w:val="40"/>
          <w:vertAlign w:val="baseline"/>
        </w:rPr>
        <w:t> </w:t>
      </w:r>
      <w:r>
        <w:rPr>
          <w:i/>
          <w:vertAlign w:val="baseline"/>
        </w:rPr>
        <w:t>et al.,</w:t>
      </w:r>
      <w:r>
        <w:rPr>
          <w:i/>
          <w:spacing w:val="40"/>
          <w:vertAlign w:val="baseline"/>
        </w:rPr>
        <w:t> </w:t>
      </w:r>
      <w:r>
        <w:rPr>
          <w:vertAlign w:val="baseline"/>
        </w:rPr>
        <w:t>1977)</w:t>
      </w:r>
      <w:r>
        <w:rPr>
          <w:spacing w:val="40"/>
          <w:vertAlign w:val="baseline"/>
        </w:rPr>
        <w:t> </w:t>
      </w:r>
      <w:r>
        <w:rPr>
          <w:vertAlign w:val="baseline"/>
        </w:rPr>
        <w:t>and</w:t>
      </w:r>
      <w:r>
        <w:rPr>
          <w:spacing w:val="40"/>
          <w:vertAlign w:val="baseline"/>
        </w:rPr>
        <w:t> </w:t>
      </w:r>
      <w:r>
        <w:rPr>
          <w:vertAlign w:val="baseline"/>
        </w:rPr>
        <w:t>sheep</w:t>
      </w:r>
      <w:r>
        <w:rPr>
          <w:spacing w:val="40"/>
          <w:vertAlign w:val="baseline"/>
        </w:rPr>
        <w:t> </w:t>
      </w:r>
      <w:r>
        <w:rPr>
          <w:vertAlign w:val="baseline"/>
        </w:rPr>
        <w:t>(Langston,</w:t>
      </w:r>
      <w:r>
        <w:rPr>
          <w:spacing w:val="40"/>
          <w:vertAlign w:val="baseline"/>
        </w:rPr>
        <w:t> </w:t>
      </w:r>
      <w:r>
        <w:rPr>
          <w:i/>
          <w:vertAlign w:val="baseline"/>
        </w:rPr>
        <w:t>et</w:t>
      </w:r>
      <w:r>
        <w:rPr>
          <w:i/>
          <w:spacing w:val="40"/>
          <w:vertAlign w:val="baseline"/>
        </w:rPr>
        <w:t> </w:t>
      </w:r>
      <w:r>
        <w:rPr>
          <w:i/>
          <w:vertAlign w:val="baseline"/>
        </w:rPr>
        <w:t>al</w:t>
      </w:r>
      <w:r>
        <w:rPr>
          <w:vertAlign w:val="baseline"/>
        </w:rPr>
        <w:t>. 1996) show that the cerebral metabolic rate for O</w:t>
      </w:r>
      <w:r>
        <w:rPr>
          <w:vertAlign w:val="subscript"/>
        </w:rPr>
        <w:t>2</w:t>
      </w:r>
      <w:r>
        <w:rPr>
          <w:vertAlign w:val="baseline"/>
        </w:rPr>
        <w:t> (CMRO</w:t>
      </w:r>
      <w:r>
        <w:rPr>
          <w:vertAlign w:val="subscript"/>
        </w:rPr>
        <w:t>2</w:t>
      </w:r>
      <w:r>
        <w:rPr>
          <w:vertAlign w:val="baseline"/>
        </w:rPr>
        <w:t>) decreased 10% at a blood COHb of approximately 23%. These results are consistent with data obtained from humans,</w:t>
      </w:r>
      <w:r>
        <w:rPr>
          <w:spacing w:val="40"/>
          <w:vertAlign w:val="baseline"/>
        </w:rPr>
        <w:t> </w:t>
      </w:r>
      <w:r>
        <w:rPr>
          <w:vertAlign w:val="baseline"/>
        </w:rPr>
        <w:t>showing</w:t>
      </w:r>
      <w:r>
        <w:rPr>
          <w:spacing w:val="40"/>
          <w:vertAlign w:val="baseline"/>
        </w:rPr>
        <w:t> </w:t>
      </w:r>
      <w:r>
        <w:rPr>
          <w:vertAlign w:val="baseline"/>
        </w:rPr>
        <w:t>no</w:t>
      </w:r>
      <w:r>
        <w:rPr>
          <w:spacing w:val="40"/>
          <w:vertAlign w:val="baseline"/>
        </w:rPr>
        <w:t> </w:t>
      </w:r>
      <w:r>
        <w:rPr>
          <w:vertAlign w:val="baseline"/>
        </w:rPr>
        <w:t>statistically significant</w:t>
      </w:r>
      <w:r>
        <w:rPr>
          <w:spacing w:val="40"/>
          <w:vertAlign w:val="baseline"/>
        </w:rPr>
        <w:t> </w:t>
      </w:r>
      <w:r>
        <w:rPr>
          <w:vertAlign w:val="baseline"/>
        </w:rPr>
        <w:t>decline</w:t>
      </w:r>
      <w:r>
        <w:rPr>
          <w:spacing w:val="40"/>
          <w:vertAlign w:val="baseline"/>
        </w:rPr>
        <w:t> </w:t>
      </w:r>
      <w:r>
        <w:rPr>
          <w:vertAlign w:val="baseline"/>
        </w:rPr>
        <w:t>in</w:t>
      </w:r>
      <w:r>
        <w:rPr>
          <w:spacing w:val="39"/>
          <w:vertAlign w:val="baseline"/>
        </w:rPr>
        <w:t> </w:t>
      </w:r>
      <w:r>
        <w:rPr>
          <w:vertAlign w:val="baseline"/>
        </w:rPr>
        <w:t>CMRO</w:t>
      </w:r>
      <w:r>
        <w:rPr>
          <w:vertAlign w:val="subscript"/>
        </w:rPr>
        <w:t>2</w:t>
      </w:r>
      <w:r>
        <w:rPr>
          <w:spacing w:val="40"/>
          <w:vertAlign w:val="baseline"/>
        </w:rPr>
        <w:t> </w:t>
      </w:r>
      <w:r>
        <w:rPr>
          <w:vertAlign w:val="baseline"/>
        </w:rPr>
        <w:t>at</w:t>
      </w:r>
      <w:r>
        <w:rPr>
          <w:spacing w:val="40"/>
          <w:vertAlign w:val="baseline"/>
        </w:rPr>
        <w:t> </w:t>
      </w:r>
      <w:r>
        <w:rPr>
          <w:vertAlign w:val="baseline"/>
        </w:rPr>
        <w:t>COHb</w:t>
      </w:r>
      <w:r>
        <w:rPr>
          <w:spacing w:val="40"/>
          <w:vertAlign w:val="baseline"/>
        </w:rPr>
        <w:t> </w:t>
      </w:r>
      <w:r>
        <w:rPr>
          <w:vertAlign w:val="baseline"/>
        </w:rPr>
        <w:t>levels up</w:t>
      </w:r>
      <w:r>
        <w:rPr>
          <w:spacing w:val="40"/>
          <w:vertAlign w:val="baseline"/>
        </w:rPr>
        <w:t> </w:t>
      </w:r>
      <w:r>
        <w:rPr>
          <w:vertAlign w:val="baseline"/>
        </w:rPr>
        <w:t>to 20% (Paulson </w:t>
      </w:r>
      <w:r>
        <w:rPr>
          <w:i/>
          <w:vertAlign w:val="baseline"/>
        </w:rPr>
        <w:t>et al</w:t>
      </w:r>
      <w:r>
        <w:rPr>
          <w:vertAlign w:val="baseline"/>
        </w:rPr>
        <w:t>., 1973).</w:t>
      </w:r>
    </w:p>
    <w:p>
      <w:pPr>
        <w:pStyle w:val="BodyText"/>
      </w:pPr>
    </w:p>
    <w:p>
      <w:pPr>
        <w:pStyle w:val="BodyText"/>
        <w:spacing w:before="18"/>
      </w:pPr>
    </w:p>
    <w:p>
      <w:pPr>
        <w:pStyle w:val="BodyText"/>
        <w:spacing w:line="491" w:lineRule="auto"/>
        <w:ind w:left="665" w:right="895"/>
        <w:jc w:val="both"/>
        <w:rPr>
          <w:i/>
        </w:rPr>
      </w:pPr>
      <w:r>
        <w:rPr/>
        <w:t>It is generally accepted, though not conclusive, that CNS symptoms are associated with acute exposures that produce blood</w:t>
      </w:r>
      <w:r>
        <w:rPr>
          <w:spacing w:val="40"/>
        </w:rPr>
        <w:t> </w:t>
      </w:r>
      <w:r>
        <w:rPr/>
        <w:t>COHb</w:t>
      </w:r>
      <w:r>
        <w:rPr>
          <w:spacing w:val="40"/>
        </w:rPr>
        <w:t> </w:t>
      </w:r>
      <w:r>
        <w:rPr/>
        <w:t>levels greater</w:t>
      </w:r>
      <w:r>
        <w:rPr>
          <w:spacing w:val="40"/>
        </w:rPr>
        <w:t> </w:t>
      </w:r>
      <w:r>
        <w:rPr/>
        <w:t>than or</w:t>
      </w:r>
      <w:r>
        <w:rPr>
          <w:spacing w:val="40"/>
        </w:rPr>
        <w:t> </w:t>
      </w:r>
      <w:r>
        <w:rPr/>
        <w:t>equals to</w:t>
      </w:r>
      <w:r>
        <w:rPr>
          <w:spacing w:val="40"/>
        </w:rPr>
        <w:t> </w:t>
      </w:r>
      <w:r>
        <w:rPr/>
        <w:t>20% as opposed to results of clinical studies associating CO exposure and CO-induced CNS effects</w:t>
      </w:r>
      <w:r>
        <w:rPr>
          <w:spacing w:val="22"/>
        </w:rPr>
        <w:t> </w:t>
      </w:r>
      <w:r>
        <w:rPr/>
        <w:t>at</w:t>
      </w:r>
      <w:r>
        <w:rPr>
          <w:spacing w:val="24"/>
        </w:rPr>
        <w:t> </w:t>
      </w:r>
      <w:r>
        <w:rPr/>
        <w:t>blood</w:t>
      </w:r>
      <w:r>
        <w:rPr>
          <w:spacing w:val="27"/>
        </w:rPr>
        <w:t> </w:t>
      </w:r>
      <w:r>
        <w:rPr/>
        <w:t>COHb</w:t>
      </w:r>
      <w:r>
        <w:rPr>
          <w:spacing w:val="33"/>
        </w:rPr>
        <w:t> </w:t>
      </w:r>
      <w:r>
        <w:rPr/>
        <w:t>levels</w:t>
      </w:r>
      <w:r>
        <w:rPr>
          <w:spacing w:val="22"/>
        </w:rPr>
        <w:t> </w:t>
      </w:r>
      <w:r>
        <w:rPr/>
        <w:t>of</w:t>
      </w:r>
      <w:r>
        <w:rPr>
          <w:spacing w:val="21"/>
        </w:rPr>
        <w:t> </w:t>
      </w:r>
      <w:r>
        <w:rPr/>
        <w:t>5</w:t>
      </w:r>
      <w:r>
        <w:rPr>
          <w:spacing w:val="33"/>
        </w:rPr>
        <w:t> </w:t>
      </w:r>
      <w:r>
        <w:rPr/>
        <w:t>-</w:t>
      </w:r>
      <w:r>
        <w:rPr>
          <w:spacing w:val="22"/>
        </w:rPr>
        <w:t> </w:t>
      </w:r>
      <w:r>
        <w:rPr/>
        <w:t>20%</w:t>
      </w:r>
      <w:r>
        <w:rPr>
          <w:spacing w:val="18"/>
        </w:rPr>
        <w:t> </w:t>
      </w:r>
      <w:r>
        <w:rPr/>
        <w:t>which</w:t>
      </w:r>
      <w:r>
        <w:rPr>
          <w:spacing w:val="16"/>
        </w:rPr>
        <w:t> </w:t>
      </w:r>
      <w:r>
        <w:rPr/>
        <w:t>are</w:t>
      </w:r>
      <w:r>
        <w:rPr>
          <w:spacing w:val="21"/>
        </w:rPr>
        <w:t> </w:t>
      </w:r>
      <w:r>
        <w:rPr/>
        <w:t>more</w:t>
      </w:r>
      <w:r>
        <w:rPr>
          <w:spacing w:val="15"/>
        </w:rPr>
        <w:t> </w:t>
      </w:r>
      <w:r>
        <w:rPr/>
        <w:t>difficult</w:t>
      </w:r>
      <w:r>
        <w:rPr>
          <w:spacing w:val="23"/>
        </w:rPr>
        <w:t> </w:t>
      </w:r>
      <w:r>
        <w:rPr/>
        <w:t>to</w:t>
      </w:r>
      <w:r>
        <w:rPr>
          <w:spacing w:val="27"/>
        </w:rPr>
        <w:t> </w:t>
      </w:r>
      <w:r>
        <w:rPr/>
        <w:t>interpret</w:t>
      </w:r>
      <w:r>
        <w:rPr>
          <w:spacing w:val="20"/>
        </w:rPr>
        <w:t> </w:t>
      </w:r>
      <w:r>
        <w:rPr/>
        <w:t>(Raub</w:t>
      </w:r>
      <w:r>
        <w:rPr>
          <w:spacing w:val="29"/>
        </w:rPr>
        <w:t> </w:t>
      </w:r>
      <w:r>
        <w:rPr>
          <w:i/>
          <w:spacing w:val="-5"/>
        </w:rPr>
        <w:t>et</w:t>
      </w:r>
    </w:p>
    <w:p>
      <w:pPr>
        <w:spacing w:after="0" w:line="491" w:lineRule="auto"/>
        <w:jc w:val="both"/>
        <w:sectPr>
          <w:pgSz w:w="12240" w:h="15840"/>
          <w:pgMar w:header="0" w:footer="916" w:top="1260" w:bottom="1100" w:left="1720" w:right="960"/>
        </w:sectPr>
      </w:pPr>
    </w:p>
    <w:p>
      <w:pPr>
        <w:pStyle w:val="BodyText"/>
        <w:spacing w:line="491" w:lineRule="auto" w:before="75"/>
        <w:ind w:left="665" w:right="894"/>
        <w:jc w:val="both"/>
      </w:pPr>
      <w:r>
        <w:rPr>
          <w:i/>
        </w:rPr>
        <w:t>al</w:t>
      </w:r>
      <w:r>
        <w:rPr/>
        <w:t>., 2000; WHO, 2000; Raub</w:t>
      </w:r>
      <w:r>
        <w:rPr>
          <w:spacing w:val="20"/>
        </w:rPr>
        <w:t> </w:t>
      </w:r>
      <w:r>
        <w:rPr/>
        <w:t>and</w:t>
      </w:r>
      <w:r>
        <w:rPr>
          <w:spacing w:val="20"/>
        </w:rPr>
        <w:t> </w:t>
      </w:r>
      <w:r>
        <w:rPr/>
        <w:t>Benignus, 2002).</w:t>
      </w:r>
      <w:r>
        <w:rPr>
          <w:spacing w:val="25"/>
        </w:rPr>
        <w:t> </w:t>
      </w:r>
      <w:r>
        <w:rPr/>
        <w:t>Numerous clinical</w:t>
      </w:r>
      <w:r>
        <w:rPr>
          <w:spacing w:val="24"/>
        </w:rPr>
        <w:t> </w:t>
      </w:r>
      <w:r>
        <w:rPr/>
        <w:t>studies were able to show CNS effects at COHb levels of &lt; 20%, including visual and auditory sensory effects (decreased visual tracking, visual and auditory vigilance, visual perception), fine and sensorimotor performance, cognitive effects (altered time discrimination, learning, attention</w:t>
      </w:r>
      <w:r>
        <w:rPr>
          <w:spacing w:val="40"/>
        </w:rPr>
        <w:t> </w:t>
      </w:r>
      <w:r>
        <w:rPr/>
        <w:t>level,</w:t>
      </w:r>
      <w:r>
        <w:rPr>
          <w:spacing w:val="40"/>
        </w:rPr>
        <w:t> </w:t>
      </w:r>
      <w:r>
        <w:rPr/>
        <w:t>driving</w:t>
      </w:r>
      <w:r>
        <w:rPr>
          <w:spacing w:val="40"/>
        </w:rPr>
        <w:t> </w:t>
      </w:r>
      <w:r>
        <w:rPr/>
        <w:t>performance),</w:t>
      </w:r>
      <w:r>
        <w:rPr>
          <w:spacing w:val="40"/>
        </w:rPr>
        <w:t> </w:t>
      </w:r>
      <w:r>
        <w:rPr/>
        <w:t>and</w:t>
      </w:r>
      <w:r>
        <w:rPr>
          <w:spacing w:val="40"/>
        </w:rPr>
        <w:t> </w:t>
      </w:r>
      <w:r>
        <w:rPr/>
        <w:t>brain</w:t>
      </w:r>
      <w:r>
        <w:rPr>
          <w:spacing w:val="40"/>
        </w:rPr>
        <w:t> </w:t>
      </w:r>
      <w:r>
        <w:rPr/>
        <w:t>electrical</w:t>
      </w:r>
      <w:r>
        <w:rPr>
          <w:spacing w:val="40"/>
        </w:rPr>
        <w:t> </w:t>
      </w:r>
      <w:r>
        <w:rPr/>
        <w:t>activity</w:t>
      </w:r>
      <w:r>
        <w:rPr>
          <w:spacing w:val="40"/>
        </w:rPr>
        <w:t> </w:t>
      </w:r>
      <w:r>
        <w:rPr/>
        <w:t>(Benignus,</w:t>
      </w:r>
      <w:r>
        <w:rPr>
          <w:spacing w:val="40"/>
        </w:rPr>
        <w:t> </w:t>
      </w:r>
      <w:r>
        <w:rPr>
          <w:i/>
        </w:rPr>
        <w:t>et</w:t>
      </w:r>
      <w:r>
        <w:rPr>
          <w:i/>
          <w:spacing w:val="40"/>
        </w:rPr>
        <w:t> </w:t>
      </w:r>
      <w:r>
        <w:rPr>
          <w:i/>
        </w:rPr>
        <w:t>al.</w:t>
      </w:r>
      <w:r>
        <w:rPr/>
        <w:t>, 1990; USEPA, 1991; Raub, </w:t>
      </w:r>
      <w:r>
        <w:rPr>
          <w:i/>
        </w:rPr>
        <w:t>et al</w:t>
      </w:r>
      <w:r>
        <w:rPr/>
        <w:t>., 2000; Raub and Benignus, 2002). Although there are evidences of human CNS effects in association with CO exposures that result in COHb levels less than 20%, dose-response relationships for the effects have not been firmly established</w:t>
      </w:r>
      <w:r>
        <w:rPr>
          <w:spacing w:val="22"/>
        </w:rPr>
        <w:t> </w:t>
      </w:r>
      <w:r>
        <w:rPr/>
        <w:t>(USEPA, 2010). Most of the clinical studies on low CO (blood</w:t>
      </w:r>
      <w:r>
        <w:rPr>
          <w:spacing w:val="16"/>
        </w:rPr>
        <w:t> </w:t>
      </w:r>
      <w:r>
        <w:rPr/>
        <w:t>COHb</w:t>
      </w:r>
      <w:r>
        <w:rPr>
          <w:spacing w:val="22"/>
        </w:rPr>
        <w:t> </w:t>
      </w:r>
      <w:r>
        <w:rPr/>
        <w:t>levels</w:t>
      </w:r>
    </w:p>
    <w:p>
      <w:pPr>
        <w:pStyle w:val="BodyText"/>
        <w:spacing w:line="494" w:lineRule="auto"/>
        <w:ind w:left="665" w:right="899"/>
        <w:jc w:val="both"/>
      </w:pPr>
      <w:r>
        <w:rPr/>
        <w:t>&lt; 20%) exposure have focused on its potential to induce behavioural effects, but few studies that were able to evaluate the effects on alterations in sensory perception (i.e., visual and auditory) were equivocal (USEPA, 1991).</w:t>
      </w:r>
    </w:p>
    <w:p>
      <w:pPr>
        <w:pStyle w:val="BodyText"/>
        <w:spacing w:line="491" w:lineRule="auto"/>
        <w:ind w:left="665" w:right="896"/>
        <w:jc w:val="both"/>
      </w:pPr>
      <w:r>
        <w:rPr/>
        <w:t>Studies conducted in mature rats provide evidence that acute exposure (&lt; 10 hours) to higher levels of CO (500–1,500 ppm) potentiates noise-induced hearing loss, including noise-induced elevation of compound action potential threshold and auditory threshold shifts (Fechter, </w:t>
      </w:r>
      <w:r>
        <w:rPr>
          <w:i/>
        </w:rPr>
        <w:t>et al</w:t>
      </w:r>
      <w:r>
        <w:rPr/>
        <w:t>., 2000). Results were found to be consistent with impaired mechanisms to repair noise-induced damage to outer hair cells. In marked contrast to above</w:t>
      </w:r>
      <w:r>
        <w:rPr>
          <w:spacing w:val="40"/>
        </w:rPr>
        <w:t> </w:t>
      </w:r>
      <w:r>
        <w:rPr/>
        <w:t>results,</w:t>
      </w:r>
      <w:r>
        <w:rPr>
          <w:spacing w:val="40"/>
        </w:rPr>
        <w:t> </w:t>
      </w:r>
      <w:r>
        <w:rPr/>
        <w:t>developmental</w:t>
      </w:r>
      <w:r>
        <w:rPr>
          <w:spacing w:val="40"/>
        </w:rPr>
        <w:t> </w:t>
      </w:r>
      <w:r>
        <w:rPr/>
        <w:t>studies</w:t>
      </w:r>
      <w:r>
        <w:rPr>
          <w:spacing w:val="40"/>
        </w:rPr>
        <w:t> </w:t>
      </w:r>
      <w:r>
        <w:rPr/>
        <w:t>in</w:t>
      </w:r>
      <w:r>
        <w:rPr>
          <w:spacing w:val="40"/>
        </w:rPr>
        <w:t> </w:t>
      </w:r>
      <w:r>
        <w:rPr/>
        <w:t>animals</w:t>
      </w:r>
      <w:r>
        <w:rPr>
          <w:spacing w:val="40"/>
        </w:rPr>
        <w:t> </w:t>
      </w:r>
      <w:r>
        <w:rPr/>
        <w:t>show</w:t>
      </w:r>
      <w:r>
        <w:rPr>
          <w:spacing w:val="40"/>
        </w:rPr>
        <w:t> </w:t>
      </w:r>
      <w:r>
        <w:rPr/>
        <w:t>that</w:t>
      </w:r>
      <w:r>
        <w:rPr>
          <w:spacing w:val="40"/>
        </w:rPr>
        <w:t> </w:t>
      </w:r>
      <w:r>
        <w:rPr/>
        <w:t>gestational</w:t>
      </w:r>
      <w:r>
        <w:rPr>
          <w:spacing w:val="40"/>
        </w:rPr>
        <w:t> </w:t>
      </w:r>
      <w:r>
        <w:rPr/>
        <w:t>and</w:t>
      </w:r>
      <w:r>
        <w:rPr>
          <w:spacing w:val="40"/>
        </w:rPr>
        <w:t> </w:t>
      </w:r>
      <w:r>
        <w:rPr/>
        <w:t>early postnatal exposure to low levels of CO (i.e., 12 – 25 ppm) may lead to altered</w:t>
      </w:r>
      <w:r>
        <w:rPr>
          <w:spacing w:val="40"/>
        </w:rPr>
        <w:t> </w:t>
      </w:r>
      <w:r>
        <w:rPr/>
        <w:t>development</w:t>
      </w:r>
      <w:r>
        <w:rPr>
          <w:spacing w:val="40"/>
        </w:rPr>
        <w:t> </w:t>
      </w:r>
      <w:r>
        <w:rPr/>
        <w:t>of</w:t>
      </w:r>
      <w:r>
        <w:rPr>
          <w:spacing w:val="40"/>
        </w:rPr>
        <w:t> </w:t>
      </w:r>
      <w:r>
        <w:rPr/>
        <w:t>the</w:t>
      </w:r>
      <w:r>
        <w:rPr>
          <w:spacing w:val="40"/>
        </w:rPr>
        <w:t> </w:t>
      </w:r>
      <w:r>
        <w:rPr/>
        <w:t>auditory</w:t>
      </w:r>
      <w:r>
        <w:rPr>
          <w:spacing w:val="40"/>
        </w:rPr>
        <w:t> </w:t>
      </w:r>
      <w:r>
        <w:rPr/>
        <w:t>system</w:t>
      </w:r>
      <w:r>
        <w:rPr>
          <w:spacing w:val="40"/>
        </w:rPr>
        <w:t> </w:t>
      </w:r>
      <w:r>
        <w:rPr/>
        <w:t>(Stockard-Sullivan</w:t>
      </w:r>
      <w:r>
        <w:rPr>
          <w:spacing w:val="40"/>
        </w:rPr>
        <w:t> </w:t>
      </w:r>
      <w:r>
        <w:rPr>
          <w:i/>
        </w:rPr>
        <w:t>et</w:t>
      </w:r>
      <w:r>
        <w:rPr>
          <w:i/>
          <w:spacing w:val="40"/>
        </w:rPr>
        <w:t> </w:t>
      </w:r>
      <w:r>
        <w:rPr>
          <w:i/>
        </w:rPr>
        <w:t>al.,</w:t>
      </w:r>
      <w:r>
        <w:rPr>
          <w:i/>
          <w:spacing w:val="40"/>
        </w:rPr>
        <w:t> </w:t>
      </w:r>
      <w:r>
        <w:rPr/>
        <w:t>2003;</w:t>
      </w:r>
      <w:r>
        <w:rPr>
          <w:spacing w:val="40"/>
        </w:rPr>
        <w:t> </w:t>
      </w:r>
      <w:r>
        <w:rPr/>
        <w:t>Webber</w:t>
      </w:r>
      <w:r>
        <w:rPr>
          <w:spacing w:val="40"/>
        </w:rPr>
        <w:t> </w:t>
      </w:r>
      <w:r>
        <w:rPr>
          <w:i/>
        </w:rPr>
        <w:t>et</w:t>
      </w:r>
      <w:r>
        <w:rPr>
          <w:i/>
          <w:spacing w:val="40"/>
        </w:rPr>
        <w:t> </w:t>
      </w:r>
      <w:r>
        <w:rPr>
          <w:i/>
        </w:rPr>
        <w:t>al</w:t>
      </w:r>
      <w:r>
        <w:rPr/>
        <w:t>., 2003; Lopez </w:t>
      </w:r>
      <w:r>
        <w:rPr>
          <w:i/>
        </w:rPr>
        <w:t>et al</w:t>
      </w:r>
      <w:r>
        <w:rPr/>
        <w:t>., 2009). In another study where adult rats received parenteral doses of CO on depressed auditory thresholds and increased cochlear blood flow, Fechter </w:t>
      </w:r>
      <w:r>
        <w:rPr>
          <w:i/>
        </w:rPr>
        <w:t>et al</w:t>
      </w:r>
      <w:r>
        <w:rPr/>
        <w:t>., (2000) assessed the auditory thresholds by measuring the compound action potential recorded</w:t>
      </w:r>
      <w:r>
        <w:rPr>
          <w:spacing w:val="40"/>
        </w:rPr>
        <w:t> </w:t>
      </w:r>
      <w:r>
        <w:rPr/>
        <w:t>at</w:t>
      </w:r>
      <w:r>
        <w:rPr>
          <w:spacing w:val="40"/>
        </w:rPr>
        <w:t> </w:t>
      </w:r>
      <w:r>
        <w:rPr/>
        <w:t>the</w:t>
      </w:r>
      <w:r>
        <w:rPr>
          <w:spacing w:val="39"/>
        </w:rPr>
        <w:t> </w:t>
      </w:r>
      <w:r>
        <w:rPr/>
        <w:t>round</w:t>
      </w:r>
      <w:r>
        <w:rPr>
          <w:spacing w:val="40"/>
        </w:rPr>
        <w:t> </w:t>
      </w:r>
      <w:r>
        <w:rPr/>
        <w:t>window,</w:t>
      </w:r>
      <w:r>
        <w:rPr>
          <w:spacing w:val="40"/>
        </w:rPr>
        <w:t> </w:t>
      </w:r>
      <w:r>
        <w:rPr/>
        <w:t>which</w:t>
      </w:r>
      <w:r>
        <w:rPr>
          <w:spacing w:val="36"/>
        </w:rPr>
        <w:t> </w:t>
      </w:r>
      <w:r>
        <w:rPr/>
        <w:t>remained</w:t>
      </w:r>
      <w:r>
        <w:rPr>
          <w:spacing w:val="40"/>
        </w:rPr>
        <w:t> </w:t>
      </w:r>
      <w:r>
        <w:rPr/>
        <w:t>stable</w:t>
      </w:r>
      <w:r>
        <w:rPr>
          <w:spacing w:val="38"/>
        </w:rPr>
        <w:t> </w:t>
      </w:r>
      <w:r>
        <w:rPr/>
        <w:t>up</w:t>
      </w:r>
      <w:r>
        <w:rPr>
          <w:spacing w:val="40"/>
        </w:rPr>
        <w:t> </w:t>
      </w:r>
      <w:r>
        <w:rPr/>
        <w:t>to</w:t>
      </w:r>
      <w:r>
        <w:rPr>
          <w:spacing w:val="40"/>
        </w:rPr>
        <w:t> </w:t>
      </w:r>
      <w:r>
        <w:rPr/>
        <w:t>COHb</w:t>
      </w:r>
      <w:r>
        <w:rPr>
          <w:spacing w:val="40"/>
        </w:rPr>
        <w:t> </w:t>
      </w:r>
      <w:r>
        <w:rPr/>
        <w:t>levels</w:t>
      </w:r>
      <w:r>
        <w:rPr>
          <w:spacing w:val="40"/>
        </w:rPr>
        <w:t> </w:t>
      </w:r>
      <w:r>
        <w:rPr/>
        <w:t>of</w:t>
      </w:r>
      <w:r>
        <w:rPr>
          <w:spacing w:val="40"/>
        </w:rPr>
        <w:t> </w:t>
      </w:r>
      <w:r>
        <w:rPr/>
        <w:t>at</w:t>
      </w:r>
      <w:r>
        <w:rPr>
          <w:spacing w:val="40"/>
        </w:rPr>
        <w:t> </w:t>
      </w:r>
      <w:r>
        <w:rPr/>
        <w:t>least 30%.</w:t>
      </w:r>
      <w:r>
        <w:rPr>
          <w:spacing w:val="27"/>
        </w:rPr>
        <w:t> </w:t>
      </w:r>
      <w:r>
        <w:rPr/>
        <w:t>Transient</w:t>
      </w:r>
      <w:r>
        <w:rPr>
          <w:spacing w:val="37"/>
        </w:rPr>
        <w:t> </w:t>
      </w:r>
      <w:r>
        <w:rPr/>
        <w:t>impairments</w:t>
      </w:r>
      <w:r>
        <w:rPr>
          <w:spacing w:val="23"/>
        </w:rPr>
        <w:t> </w:t>
      </w:r>
      <w:r>
        <w:rPr/>
        <w:t>of</w:t>
      </w:r>
      <w:r>
        <w:rPr>
          <w:spacing w:val="27"/>
        </w:rPr>
        <w:t> </w:t>
      </w:r>
      <w:r>
        <w:rPr/>
        <w:t>the</w:t>
      </w:r>
      <w:r>
        <w:rPr>
          <w:spacing w:val="32"/>
        </w:rPr>
        <w:t> </w:t>
      </w:r>
      <w:r>
        <w:rPr/>
        <w:t>compound</w:t>
      </w:r>
      <w:r>
        <w:rPr>
          <w:spacing w:val="28"/>
        </w:rPr>
        <w:t> </w:t>
      </w:r>
      <w:r>
        <w:rPr/>
        <w:t>action</w:t>
      </w:r>
      <w:r>
        <w:rPr>
          <w:spacing w:val="23"/>
        </w:rPr>
        <w:t> </w:t>
      </w:r>
      <w:r>
        <w:rPr/>
        <w:t>potential</w:t>
      </w:r>
      <w:r>
        <w:rPr>
          <w:spacing w:val="30"/>
        </w:rPr>
        <w:t> </w:t>
      </w:r>
      <w:r>
        <w:rPr/>
        <w:t>threshold</w:t>
      </w:r>
      <w:r>
        <w:rPr>
          <w:spacing w:val="34"/>
        </w:rPr>
        <w:t> </w:t>
      </w:r>
      <w:r>
        <w:rPr/>
        <w:t>were</w:t>
      </w:r>
      <w:r>
        <w:rPr>
          <w:spacing w:val="26"/>
        </w:rPr>
        <w:t> </w:t>
      </w:r>
      <w:r>
        <w:rPr/>
        <w:t>observed</w:t>
      </w:r>
    </w:p>
    <w:p>
      <w:pPr>
        <w:spacing w:after="0" w:line="491" w:lineRule="auto"/>
        <w:jc w:val="both"/>
        <w:sectPr>
          <w:pgSz w:w="12240" w:h="15840"/>
          <w:pgMar w:header="0" w:footer="916" w:top="1260" w:bottom="1100" w:left="1720" w:right="960"/>
        </w:sectPr>
      </w:pPr>
    </w:p>
    <w:p>
      <w:pPr>
        <w:pStyle w:val="BodyText"/>
        <w:spacing w:line="491" w:lineRule="auto" w:before="75"/>
        <w:ind w:left="665" w:right="897"/>
        <w:jc w:val="both"/>
      </w:pPr>
      <w:r>
        <w:rPr/>
        <w:t>only among subjects that attained COHb levels of approximately 50%. Cochlear blood flow measured using laser Doppler flowmetry also increased following CO exposure, reaching a maximum of 140% of control values at approximately 50% COHb. In those instances of high COHb production that produced impairment of auditory threshold, recovery of function was observed as COHb levels declined.</w:t>
      </w:r>
    </w:p>
    <w:p>
      <w:pPr>
        <w:pStyle w:val="BodyText"/>
      </w:pPr>
    </w:p>
    <w:p>
      <w:pPr>
        <w:pStyle w:val="BodyText"/>
        <w:spacing w:before="16"/>
      </w:pPr>
    </w:p>
    <w:p>
      <w:pPr>
        <w:pStyle w:val="Heading3"/>
        <w:numPr>
          <w:ilvl w:val="2"/>
          <w:numId w:val="16"/>
        </w:numPr>
        <w:tabs>
          <w:tab w:pos="1171" w:val="left" w:leader="none"/>
        </w:tabs>
        <w:spacing w:line="240" w:lineRule="auto" w:before="0" w:after="0"/>
        <w:ind w:left="1171" w:right="0" w:hanging="506"/>
        <w:jc w:val="left"/>
      </w:pPr>
      <w:bookmarkStart w:name="_TOC_250031" w:id="26"/>
      <w:r>
        <w:rPr/>
        <w:t>Developmental</w:t>
      </w:r>
      <w:r>
        <w:rPr>
          <w:spacing w:val="26"/>
        </w:rPr>
        <w:t> </w:t>
      </w:r>
      <w:bookmarkEnd w:id="26"/>
      <w:r>
        <w:rPr>
          <w:spacing w:val="-2"/>
        </w:rPr>
        <w:t>Effects</w:t>
      </w:r>
    </w:p>
    <w:p>
      <w:pPr>
        <w:pStyle w:val="BodyText"/>
        <w:spacing w:before="8"/>
        <w:rPr>
          <w:b/>
        </w:rPr>
      </w:pPr>
    </w:p>
    <w:p>
      <w:pPr>
        <w:pStyle w:val="BodyText"/>
        <w:spacing w:line="491" w:lineRule="auto"/>
        <w:ind w:left="665" w:right="895"/>
        <w:jc w:val="both"/>
      </w:pPr>
      <w:r>
        <w:rPr/>
        <w:t>Epidemiological studies have examined possible associations between exposure to</w:t>
      </w:r>
      <w:r>
        <w:rPr>
          <w:spacing w:val="40"/>
        </w:rPr>
        <w:t> </w:t>
      </w:r>
      <w:r>
        <w:rPr/>
        <w:t>ambient air CO concentrations and various developmental outcomes, including pre-term birth, birth weight, congenital anomalies, and neonatal and infant death. Results of these studies have been mixed and, collectively, do not provide strong evidence for developmental effects in association with exposures to ambient levels of CO. Studies carried out on animals provide evidence of adverse developmental effects of gestational and early postnatal CO exposure, including decreased fetal weight, adverse CNS development, altered peripheral nervous system development, cardiac effects, altered sexual behaviour, immunological, and haematological effects. In addition, some studies showed that developmental effects persisted beyond the postnatal period (Anger, 1984; Ischiropoulos </w:t>
      </w:r>
      <w:r>
        <w:rPr>
          <w:i/>
        </w:rPr>
        <w:t>et al</w:t>
      </w:r>
      <w:r>
        <w:rPr/>
        <w:t>., 1996; Andrea </w:t>
      </w:r>
      <w:r>
        <w:rPr>
          <w:i/>
        </w:rPr>
        <w:t>et al</w:t>
      </w:r>
      <w:r>
        <w:rPr/>
        <w:t>., 2001; Huynh </w:t>
      </w:r>
      <w:r>
        <w:rPr>
          <w:i/>
        </w:rPr>
        <w:t>et al</w:t>
      </w:r>
      <w:r>
        <w:rPr/>
        <w:t>., 2006).</w:t>
      </w:r>
    </w:p>
    <w:p>
      <w:pPr>
        <w:pStyle w:val="BodyText"/>
      </w:pPr>
    </w:p>
    <w:p>
      <w:pPr>
        <w:pStyle w:val="BodyText"/>
        <w:spacing w:before="15"/>
      </w:pPr>
    </w:p>
    <w:p>
      <w:pPr>
        <w:pStyle w:val="BodyText"/>
        <w:spacing w:line="491" w:lineRule="auto"/>
        <w:ind w:left="665" w:right="895"/>
        <w:jc w:val="both"/>
      </w:pPr>
      <w:r>
        <w:rPr/>
        <w:t>Several studies have examined possible associations between ambient air CO concentrations</w:t>
      </w:r>
      <w:r>
        <w:rPr>
          <w:spacing w:val="40"/>
        </w:rPr>
        <w:t> </w:t>
      </w:r>
      <w:r>
        <w:rPr/>
        <w:t>and</w:t>
      </w:r>
      <w:r>
        <w:rPr>
          <w:spacing w:val="40"/>
        </w:rPr>
        <w:t> </w:t>
      </w:r>
      <w:r>
        <w:rPr/>
        <w:t>risk of</w:t>
      </w:r>
      <w:r>
        <w:rPr>
          <w:spacing w:val="40"/>
        </w:rPr>
        <w:t> </w:t>
      </w:r>
      <w:r>
        <w:rPr/>
        <w:t>pre-term</w:t>
      </w:r>
      <w:r>
        <w:rPr>
          <w:spacing w:val="40"/>
        </w:rPr>
        <w:t> </w:t>
      </w:r>
      <w:r>
        <w:rPr/>
        <w:t>birth (Huynh</w:t>
      </w:r>
      <w:r>
        <w:rPr>
          <w:spacing w:val="40"/>
        </w:rPr>
        <w:t> </w:t>
      </w:r>
      <w:r>
        <w:rPr>
          <w:i/>
        </w:rPr>
        <w:t>et</w:t>
      </w:r>
      <w:r>
        <w:rPr>
          <w:i/>
          <w:spacing w:val="40"/>
        </w:rPr>
        <w:t> </w:t>
      </w:r>
      <w:r>
        <w:rPr>
          <w:i/>
        </w:rPr>
        <w:t>al</w:t>
      </w:r>
      <w:r>
        <w:rPr/>
        <w:t>.,</w:t>
      </w:r>
      <w:r>
        <w:rPr>
          <w:spacing w:val="40"/>
        </w:rPr>
        <w:t> </w:t>
      </w:r>
      <w:r>
        <w:rPr/>
        <w:t>2006;</w:t>
      </w:r>
      <w:r>
        <w:rPr>
          <w:spacing w:val="40"/>
        </w:rPr>
        <w:t> </w:t>
      </w:r>
      <w:r>
        <w:rPr/>
        <w:t>Jalaludin</w:t>
      </w:r>
      <w:r>
        <w:rPr>
          <w:spacing w:val="40"/>
        </w:rPr>
        <w:t> </w:t>
      </w:r>
      <w:r>
        <w:rPr>
          <w:i/>
        </w:rPr>
        <w:t>et</w:t>
      </w:r>
      <w:r>
        <w:rPr>
          <w:i/>
          <w:spacing w:val="40"/>
        </w:rPr>
        <w:t> </w:t>
      </w:r>
      <w:r>
        <w:rPr>
          <w:i/>
        </w:rPr>
        <w:t>al.,</w:t>
      </w:r>
      <w:r>
        <w:rPr>
          <w:i/>
          <w:spacing w:val="40"/>
        </w:rPr>
        <w:t> </w:t>
      </w:r>
      <w:r>
        <w:rPr/>
        <w:t>2006; Leem</w:t>
      </w:r>
      <w:r>
        <w:rPr>
          <w:spacing w:val="23"/>
        </w:rPr>
        <w:t> </w:t>
      </w:r>
      <w:r>
        <w:rPr>
          <w:i/>
        </w:rPr>
        <w:t>et</w:t>
      </w:r>
      <w:r>
        <w:rPr>
          <w:i/>
          <w:spacing w:val="21"/>
        </w:rPr>
        <w:t> </w:t>
      </w:r>
      <w:r>
        <w:rPr>
          <w:i/>
        </w:rPr>
        <w:t>al</w:t>
      </w:r>
      <w:r>
        <w:rPr/>
        <w:t>.,</w:t>
      </w:r>
      <w:r>
        <w:rPr>
          <w:spacing w:val="22"/>
        </w:rPr>
        <w:t> </w:t>
      </w:r>
      <w:r>
        <w:rPr/>
        <w:t>2006;</w:t>
      </w:r>
      <w:r>
        <w:rPr>
          <w:spacing w:val="21"/>
        </w:rPr>
        <w:t> </w:t>
      </w:r>
      <w:r>
        <w:rPr/>
        <w:t>Ritz</w:t>
      </w:r>
      <w:r>
        <w:rPr>
          <w:spacing w:val="21"/>
        </w:rPr>
        <w:t> </w:t>
      </w:r>
      <w:r>
        <w:rPr>
          <w:i/>
        </w:rPr>
        <w:t>et</w:t>
      </w:r>
      <w:r>
        <w:rPr>
          <w:i/>
          <w:spacing w:val="21"/>
        </w:rPr>
        <w:t> </w:t>
      </w:r>
      <w:r>
        <w:rPr>
          <w:i/>
        </w:rPr>
        <w:t>al</w:t>
      </w:r>
      <w:r>
        <w:rPr/>
        <w:t>.,</w:t>
      </w:r>
      <w:r>
        <w:rPr>
          <w:spacing w:val="22"/>
        </w:rPr>
        <w:t> </w:t>
      </w:r>
      <w:r>
        <w:rPr/>
        <w:t>2007;</w:t>
      </w:r>
      <w:r>
        <w:rPr>
          <w:spacing w:val="21"/>
        </w:rPr>
        <w:t> </w:t>
      </w:r>
      <w:r>
        <w:rPr/>
        <w:t>Liu</w:t>
      </w:r>
      <w:r>
        <w:rPr>
          <w:spacing w:val="23"/>
        </w:rPr>
        <w:t> </w:t>
      </w:r>
      <w:r>
        <w:rPr>
          <w:i/>
        </w:rPr>
        <w:t>et</w:t>
      </w:r>
      <w:r>
        <w:rPr>
          <w:i/>
          <w:spacing w:val="21"/>
        </w:rPr>
        <w:t> </w:t>
      </w:r>
      <w:r>
        <w:rPr>
          <w:i/>
        </w:rPr>
        <w:t>al</w:t>
      </w:r>
      <w:r>
        <w:rPr/>
        <w:t>.,</w:t>
      </w:r>
      <w:r>
        <w:rPr>
          <w:spacing w:val="16"/>
        </w:rPr>
        <w:t> </w:t>
      </w:r>
      <w:r>
        <w:rPr/>
        <w:t>2009;</w:t>
      </w:r>
      <w:r>
        <w:rPr>
          <w:spacing w:val="26"/>
        </w:rPr>
        <w:t> </w:t>
      </w:r>
      <w:r>
        <w:rPr/>
        <w:t>Wilhelm</w:t>
      </w:r>
      <w:r>
        <w:rPr>
          <w:spacing w:val="18"/>
        </w:rPr>
        <w:t> </w:t>
      </w:r>
      <w:r>
        <w:rPr/>
        <w:t>and</w:t>
      </w:r>
      <w:r>
        <w:rPr>
          <w:spacing w:val="23"/>
        </w:rPr>
        <w:t> </w:t>
      </w:r>
      <w:r>
        <w:rPr/>
        <w:t>Ritz,</w:t>
      </w:r>
      <w:r>
        <w:rPr>
          <w:spacing w:val="22"/>
        </w:rPr>
        <w:t> </w:t>
      </w:r>
      <w:r>
        <w:rPr/>
        <w:t>2011).</w:t>
      </w:r>
      <w:r>
        <w:rPr>
          <w:spacing w:val="28"/>
        </w:rPr>
        <w:t> </w:t>
      </w:r>
      <w:r>
        <w:rPr/>
        <w:t>Results of these studies have been mixed</w:t>
      </w:r>
      <w:r>
        <w:rPr>
          <w:spacing w:val="38"/>
        </w:rPr>
        <w:t> </w:t>
      </w:r>
      <w:r>
        <w:rPr/>
        <w:t>and have included estimates of significantly elevated</w:t>
      </w:r>
      <w:r>
        <w:rPr>
          <w:spacing w:val="40"/>
        </w:rPr>
        <w:t> </w:t>
      </w:r>
      <w:r>
        <w:rPr/>
        <w:t>risk or</w:t>
      </w:r>
      <w:r>
        <w:rPr>
          <w:spacing w:val="22"/>
        </w:rPr>
        <w:t> </w:t>
      </w:r>
      <w:r>
        <w:rPr/>
        <w:t>lower</w:t>
      </w:r>
      <w:r>
        <w:rPr>
          <w:spacing w:val="15"/>
        </w:rPr>
        <w:t> </w:t>
      </w:r>
      <w:r>
        <w:rPr/>
        <w:t>risks</w:t>
      </w:r>
      <w:r>
        <w:rPr>
          <w:spacing w:val="18"/>
        </w:rPr>
        <w:t> </w:t>
      </w:r>
      <w:r>
        <w:rPr/>
        <w:t>of pre-term</w:t>
      </w:r>
      <w:r>
        <w:rPr>
          <w:spacing w:val="15"/>
        </w:rPr>
        <w:t> </w:t>
      </w:r>
      <w:r>
        <w:rPr/>
        <w:t>birth (Jalaludin </w:t>
      </w:r>
      <w:r>
        <w:rPr>
          <w:i/>
        </w:rPr>
        <w:t>et al</w:t>
      </w:r>
      <w:r>
        <w:rPr/>
        <w:t>.,</w:t>
      </w:r>
      <w:r>
        <w:rPr>
          <w:spacing w:val="14"/>
        </w:rPr>
        <w:t> </w:t>
      </w:r>
      <w:r>
        <w:rPr/>
        <w:t>2006).</w:t>
      </w:r>
      <w:r>
        <w:rPr>
          <w:spacing w:val="20"/>
        </w:rPr>
        <w:t> </w:t>
      </w:r>
      <w:r>
        <w:rPr/>
        <w:t>Mean air</w:t>
      </w:r>
      <w:r>
        <w:rPr>
          <w:spacing w:val="22"/>
        </w:rPr>
        <w:t> </w:t>
      </w:r>
      <w:r>
        <w:rPr/>
        <w:t>CO concentrations</w:t>
      </w:r>
    </w:p>
    <w:p>
      <w:pPr>
        <w:spacing w:after="0" w:line="491" w:lineRule="auto"/>
        <w:jc w:val="both"/>
        <w:sectPr>
          <w:pgSz w:w="12240" w:h="15840"/>
          <w:pgMar w:header="0" w:footer="916" w:top="1260" w:bottom="1100" w:left="1720" w:right="960"/>
        </w:sectPr>
      </w:pPr>
    </w:p>
    <w:p>
      <w:pPr>
        <w:pStyle w:val="BodyText"/>
        <w:spacing w:line="491" w:lineRule="auto" w:before="75"/>
        <w:ind w:left="665" w:right="898"/>
        <w:jc w:val="both"/>
      </w:pPr>
      <w:r>
        <w:rPr/>
        <w:t>evaluated</w:t>
      </w:r>
      <w:r>
        <w:rPr>
          <w:spacing w:val="27"/>
        </w:rPr>
        <w:t> </w:t>
      </w:r>
      <w:r>
        <w:rPr/>
        <w:t>in these</w:t>
      </w:r>
      <w:r>
        <w:rPr>
          <w:spacing w:val="19"/>
        </w:rPr>
        <w:t> </w:t>
      </w:r>
      <w:r>
        <w:rPr/>
        <w:t>studies ranged</w:t>
      </w:r>
      <w:r>
        <w:rPr>
          <w:spacing w:val="21"/>
        </w:rPr>
        <w:t> </w:t>
      </w:r>
      <w:r>
        <w:rPr/>
        <w:t>from 0.8</w:t>
      </w:r>
      <w:r>
        <w:rPr>
          <w:spacing w:val="21"/>
        </w:rPr>
        <w:t> </w:t>
      </w:r>
      <w:r>
        <w:rPr/>
        <w:t>to</w:t>
      </w:r>
      <w:r>
        <w:rPr>
          <w:spacing w:val="21"/>
        </w:rPr>
        <w:t> </w:t>
      </w:r>
      <w:r>
        <w:rPr/>
        <w:t>2.7 ppm,</w:t>
      </w:r>
      <w:r>
        <w:rPr>
          <w:spacing w:val="20"/>
        </w:rPr>
        <w:t> </w:t>
      </w:r>
      <w:r>
        <w:rPr/>
        <w:t>with the</w:t>
      </w:r>
      <w:r>
        <w:rPr>
          <w:spacing w:val="25"/>
        </w:rPr>
        <w:t> </w:t>
      </w:r>
      <w:r>
        <w:rPr/>
        <w:t>highest</w:t>
      </w:r>
      <w:r>
        <w:rPr>
          <w:spacing w:val="23"/>
        </w:rPr>
        <w:t> </w:t>
      </w:r>
      <w:r>
        <w:rPr/>
        <w:t>values less than 10 ppm (Ritz </w:t>
      </w:r>
      <w:r>
        <w:rPr>
          <w:i/>
        </w:rPr>
        <w:t>et al.</w:t>
      </w:r>
      <w:r>
        <w:rPr/>
        <w:t>, 2007).</w:t>
      </w:r>
    </w:p>
    <w:p>
      <w:pPr>
        <w:pStyle w:val="BodyText"/>
      </w:pPr>
    </w:p>
    <w:p>
      <w:pPr>
        <w:pStyle w:val="BodyText"/>
        <w:spacing w:before="17"/>
      </w:pPr>
    </w:p>
    <w:p>
      <w:pPr>
        <w:pStyle w:val="Heading3"/>
        <w:numPr>
          <w:ilvl w:val="2"/>
          <w:numId w:val="16"/>
        </w:numPr>
        <w:tabs>
          <w:tab w:pos="1171" w:val="left" w:leader="none"/>
        </w:tabs>
        <w:spacing w:line="240" w:lineRule="auto" w:before="0" w:after="0"/>
        <w:ind w:left="1171" w:right="0" w:hanging="506"/>
        <w:jc w:val="left"/>
      </w:pPr>
      <w:bookmarkStart w:name="_TOC_250030" w:id="27"/>
      <w:r>
        <w:rPr/>
        <w:t>Hypoxia</w:t>
      </w:r>
      <w:r>
        <w:rPr>
          <w:spacing w:val="17"/>
        </w:rPr>
        <w:t> </w:t>
      </w:r>
      <w:r>
        <w:rPr/>
        <w:t>and</w:t>
      </w:r>
      <w:r>
        <w:rPr>
          <w:spacing w:val="15"/>
        </w:rPr>
        <w:t> </w:t>
      </w:r>
      <w:r>
        <w:rPr/>
        <w:t>Related</w:t>
      </w:r>
      <w:r>
        <w:rPr>
          <w:spacing w:val="20"/>
        </w:rPr>
        <w:t> </w:t>
      </w:r>
      <w:r>
        <w:rPr/>
        <w:t>Compensatory</w:t>
      </w:r>
      <w:r>
        <w:rPr>
          <w:spacing w:val="12"/>
        </w:rPr>
        <w:t> </w:t>
      </w:r>
      <w:bookmarkEnd w:id="27"/>
      <w:r>
        <w:rPr>
          <w:spacing w:val="-2"/>
        </w:rPr>
        <w:t>Responses</w:t>
      </w:r>
    </w:p>
    <w:p>
      <w:pPr>
        <w:pStyle w:val="BodyText"/>
        <w:spacing w:before="7"/>
        <w:rPr>
          <w:b/>
        </w:rPr>
      </w:pPr>
    </w:p>
    <w:p>
      <w:pPr>
        <w:pStyle w:val="BodyText"/>
        <w:spacing w:line="491" w:lineRule="auto" w:before="1"/>
        <w:ind w:left="665" w:right="896"/>
        <w:jc w:val="both"/>
      </w:pPr>
      <w:r>
        <w:rPr/>
        <w:t>Inhalational</w:t>
      </w:r>
      <w:r>
        <w:rPr>
          <w:spacing w:val="28"/>
        </w:rPr>
        <w:t> </w:t>
      </w:r>
      <w:r>
        <w:rPr/>
        <w:t>exposure</w:t>
      </w:r>
      <w:r>
        <w:rPr>
          <w:spacing w:val="35"/>
        </w:rPr>
        <w:t> </w:t>
      </w:r>
      <w:r>
        <w:rPr/>
        <w:t>to</w:t>
      </w:r>
      <w:r>
        <w:rPr>
          <w:spacing w:val="40"/>
        </w:rPr>
        <w:t> </w:t>
      </w:r>
      <w:r>
        <w:rPr/>
        <w:t>CO</w:t>
      </w:r>
      <w:r>
        <w:rPr>
          <w:spacing w:val="29"/>
        </w:rPr>
        <w:t> </w:t>
      </w:r>
      <w:r>
        <w:rPr/>
        <w:t>results</w:t>
      </w:r>
      <w:r>
        <w:rPr>
          <w:spacing w:val="38"/>
        </w:rPr>
        <w:t> </w:t>
      </w:r>
      <w:r>
        <w:rPr/>
        <w:t>in</w:t>
      </w:r>
      <w:r>
        <w:rPr>
          <w:spacing w:val="31"/>
        </w:rPr>
        <w:t> </w:t>
      </w:r>
      <w:r>
        <w:rPr/>
        <w:t>the</w:t>
      </w:r>
      <w:r>
        <w:rPr>
          <w:spacing w:val="35"/>
        </w:rPr>
        <w:t> </w:t>
      </w:r>
      <w:r>
        <w:rPr/>
        <w:t>formation</w:t>
      </w:r>
      <w:r>
        <w:rPr>
          <w:spacing w:val="31"/>
        </w:rPr>
        <w:t> </w:t>
      </w:r>
      <w:r>
        <w:rPr/>
        <w:t>of</w:t>
      </w:r>
      <w:r>
        <w:rPr>
          <w:spacing w:val="36"/>
        </w:rPr>
        <w:t> </w:t>
      </w:r>
      <w:r>
        <w:rPr/>
        <w:t>a</w:t>
      </w:r>
      <w:r>
        <w:rPr>
          <w:spacing w:val="40"/>
        </w:rPr>
        <w:t> </w:t>
      </w:r>
      <w:r>
        <w:rPr/>
        <w:t>stable</w:t>
      </w:r>
      <w:r>
        <w:rPr>
          <w:spacing w:val="35"/>
        </w:rPr>
        <w:t> </w:t>
      </w:r>
      <w:r>
        <w:rPr/>
        <w:t>complex</w:t>
      </w:r>
      <w:r>
        <w:rPr>
          <w:spacing w:val="31"/>
        </w:rPr>
        <w:t> </w:t>
      </w:r>
      <w:r>
        <w:rPr/>
        <w:t>between</w:t>
      </w:r>
      <w:r>
        <w:rPr>
          <w:spacing w:val="31"/>
        </w:rPr>
        <w:t> </w:t>
      </w:r>
      <w:r>
        <w:rPr/>
        <w:t>CO and Hb (COHb). Relatively low partial pressure of CO (P</w:t>
      </w:r>
      <w:r>
        <w:rPr>
          <w:vertAlign w:val="subscript"/>
        </w:rPr>
        <w:t>a</w:t>
      </w:r>
      <w:r>
        <w:rPr>
          <w:vertAlign w:val="baseline"/>
        </w:rPr>
        <w:t>CO), having much higher affinity for Hb than O</w:t>
      </w:r>
      <w:r>
        <w:rPr>
          <w:vertAlign w:val="subscript"/>
        </w:rPr>
        <w:t>2</w:t>
      </w:r>
      <w:r>
        <w:rPr>
          <w:vertAlign w:val="baseline"/>
        </w:rPr>
        <w:t> can displace it from Hb (Fig. 2.1). The complex formed</w:t>
      </w:r>
      <w:r>
        <w:rPr>
          <w:spacing w:val="80"/>
          <w:vertAlign w:val="baseline"/>
        </w:rPr>
        <w:t> </w:t>
      </w:r>
      <w:r>
        <w:rPr>
          <w:vertAlign w:val="baseline"/>
        </w:rPr>
        <w:t>contributes</w:t>
      </w:r>
      <w:r>
        <w:rPr>
          <w:spacing w:val="30"/>
          <w:vertAlign w:val="baseline"/>
        </w:rPr>
        <w:t> </w:t>
      </w:r>
      <w:r>
        <w:rPr>
          <w:vertAlign w:val="baseline"/>
        </w:rPr>
        <w:t>to</w:t>
      </w:r>
      <w:r>
        <w:rPr>
          <w:spacing w:val="35"/>
          <w:vertAlign w:val="baseline"/>
        </w:rPr>
        <w:t> </w:t>
      </w:r>
      <w:r>
        <w:rPr>
          <w:vertAlign w:val="baseline"/>
        </w:rPr>
        <w:t>impaired</w:t>
      </w:r>
      <w:r>
        <w:rPr>
          <w:spacing w:val="39"/>
          <w:vertAlign w:val="baseline"/>
        </w:rPr>
        <w:t> </w:t>
      </w:r>
      <w:r>
        <w:rPr>
          <w:vertAlign w:val="baseline"/>
        </w:rPr>
        <w:t>O</w:t>
      </w:r>
      <w:r>
        <w:rPr>
          <w:vertAlign w:val="subscript"/>
        </w:rPr>
        <w:t>2</w:t>
      </w:r>
      <w:r>
        <w:rPr>
          <w:spacing w:val="29"/>
          <w:vertAlign w:val="baseline"/>
        </w:rPr>
        <w:t> </w:t>
      </w:r>
      <w:r>
        <w:rPr>
          <w:vertAlign w:val="baseline"/>
        </w:rPr>
        <w:t>delivery</w:t>
      </w:r>
      <w:r>
        <w:rPr>
          <w:spacing w:val="23"/>
          <w:vertAlign w:val="baseline"/>
        </w:rPr>
        <w:t> </w:t>
      </w:r>
      <w:r>
        <w:rPr>
          <w:vertAlign w:val="baseline"/>
        </w:rPr>
        <w:t>to</w:t>
      </w:r>
      <w:r>
        <w:rPr>
          <w:spacing w:val="35"/>
          <w:vertAlign w:val="baseline"/>
        </w:rPr>
        <w:t> </w:t>
      </w:r>
      <w:r>
        <w:rPr>
          <w:vertAlign w:val="baseline"/>
        </w:rPr>
        <w:t>tissues</w:t>
      </w:r>
      <w:r>
        <w:rPr>
          <w:spacing w:val="30"/>
          <w:vertAlign w:val="baseline"/>
        </w:rPr>
        <w:t> </w:t>
      </w:r>
      <w:r>
        <w:rPr>
          <w:vertAlign w:val="baseline"/>
        </w:rPr>
        <w:t>in</w:t>
      </w:r>
      <w:r>
        <w:rPr>
          <w:spacing w:val="23"/>
          <w:vertAlign w:val="baseline"/>
        </w:rPr>
        <w:t> </w:t>
      </w:r>
      <w:r>
        <w:rPr>
          <w:vertAlign w:val="baseline"/>
        </w:rPr>
        <w:t>two</w:t>
      </w:r>
      <w:r>
        <w:rPr>
          <w:spacing w:val="35"/>
          <w:vertAlign w:val="baseline"/>
        </w:rPr>
        <w:t> </w:t>
      </w:r>
      <w:r>
        <w:rPr>
          <w:vertAlign w:val="baseline"/>
        </w:rPr>
        <w:t>ways:</w:t>
      </w:r>
      <w:r>
        <w:rPr>
          <w:spacing w:val="31"/>
          <w:vertAlign w:val="baseline"/>
        </w:rPr>
        <w:t> </w:t>
      </w:r>
      <w:r>
        <w:rPr>
          <w:vertAlign w:val="baseline"/>
        </w:rPr>
        <w:t>(1)</w:t>
      </w:r>
      <w:r>
        <w:rPr>
          <w:spacing w:val="33"/>
          <w:vertAlign w:val="baseline"/>
        </w:rPr>
        <w:t> </w:t>
      </w:r>
      <w:r>
        <w:rPr>
          <w:vertAlign w:val="baseline"/>
        </w:rPr>
        <w:t>in</w:t>
      </w:r>
      <w:r>
        <w:rPr>
          <w:spacing w:val="29"/>
          <w:vertAlign w:val="baseline"/>
        </w:rPr>
        <w:t> </w:t>
      </w:r>
      <w:r>
        <w:rPr>
          <w:vertAlign w:val="baseline"/>
        </w:rPr>
        <w:t>the</w:t>
      </w:r>
      <w:r>
        <w:rPr>
          <w:spacing w:val="32"/>
          <w:vertAlign w:val="baseline"/>
        </w:rPr>
        <w:t> </w:t>
      </w:r>
      <w:r>
        <w:rPr>
          <w:vertAlign w:val="baseline"/>
        </w:rPr>
        <w:t>presence</w:t>
      </w:r>
      <w:r>
        <w:rPr>
          <w:spacing w:val="27"/>
          <w:vertAlign w:val="baseline"/>
        </w:rPr>
        <w:t> </w:t>
      </w:r>
      <w:r>
        <w:rPr>
          <w:vertAlign w:val="baseline"/>
        </w:rPr>
        <w:t>of</w:t>
      </w:r>
      <w:r>
        <w:rPr>
          <w:spacing w:val="33"/>
          <w:vertAlign w:val="baseline"/>
        </w:rPr>
        <w:t> </w:t>
      </w:r>
      <w:r>
        <w:rPr>
          <w:vertAlign w:val="baseline"/>
        </w:rPr>
        <w:t>CO, the amount of O</w:t>
      </w:r>
      <w:r>
        <w:rPr>
          <w:vertAlign w:val="subscript"/>
        </w:rPr>
        <w:t>2</w:t>
      </w:r>
      <w:r>
        <w:rPr>
          <w:vertAlign w:val="baseline"/>
        </w:rPr>
        <w:t> that can be stored in Hb for delivery to</w:t>
      </w:r>
      <w:r>
        <w:rPr>
          <w:spacing w:val="40"/>
          <w:vertAlign w:val="baseline"/>
        </w:rPr>
        <w:t> </w:t>
      </w:r>
      <w:r>
        <w:rPr>
          <w:vertAlign w:val="baseline"/>
        </w:rPr>
        <w:t>tissues decreases; and (2)</w:t>
      </w:r>
      <w:r>
        <w:rPr>
          <w:spacing w:val="40"/>
          <w:vertAlign w:val="baseline"/>
        </w:rPr>
        <w:t> </w:t>
      </w:r>
      <w:r>
        <w:rPr>
          <w:vertAlign w:val="baseline"/>
        </w:rPr>
        <w:t>binding of CO to Hb impairs release of O</w:t>
      </w:r>
      <w:r>
        <w:rPr>
          <w:vertAlign w:val="subscript"/>
        </w:rPr>
        <w:t>2</w:t>
      </w:r>
      <w:r>
        <w:rPr>
          <w:vertAlign w:val="baseline"/>
        </w:rPr>
        <w:t> from Hb for its diffusion into tissues. At sufficient levels of COHb, the combined effects of impaired O</w:t>
      </w:r>
      <w:r>
        <w:rPr>
          <w:vertAlign w:val="subscript"/>
        </w:rPr>
        <w:t>2</w:t>
      </w:r>
      <w:r>
        <w:rPr>
          <w:vertAlign w:val="baseline"/>
        </w:rPr>
        <w:t> storage and transport results in tissue hypoxia, the principal mechanism of many adverse effects of CO poisoning.</w:t>
      </w:r>
      <w:r>
        <w:rPr>
          <w:spacing w:val="40"/>
          <w:vertAlign w:val="baseline"/>
        </w:rPr>
        <w:t> </w:t>
      </w:r>
      <w:r>
        <w:rPr>
          <w:vertAlign w:val="baseline"/>
        </w:rPr>
        <w:t>In</w:t>
      </w:r>
      <w:r>
        <w:rPr>
          <w:spacing w:val="40"/>
          <w:vertAlign w:val="baseline"/>
        </w:rPr>
        <w:t> </w:t>
      </w:r>
      <w:r>
        <w:rPr>
          <w:vertAlign w:val="baseline"/>
        </w:rPr>
        <w:t>order</w:t>
      </w:r>
      <w:r>
        <w:rPr>
          <w:spacing w:val="40"/>
          <w:vertAlign w:val="baseline"/>
        </w:rPr>
        <w:t> </w:t>
      </w:r>
      <w:r>
        <w:rPr>
          <w:vertAlign w:val="baseline"/>
        </w:rPr>
        <w:t>to</w:t>
      </w:r>
      <w:r>
        <w:rPr>
          <w:spacing w:val="40"/>
          <w:vertAlign w:val="baseline"/>
        </w:rPr>
        <w:t> </w:t>
      </w:r>
      <w:r>
        <w:rPr>
          <w:vertAlign w:val="baseline"/>
        </w:rPr>
        <w:t>maintain</w:t>
      </w:r>
      <w:r>
        <w:rPr>
          <w:spacing w:val="40"/>
          <w:vertAlign w:val="baseline"/>
        </w:rPr>
        <w:t> </w:t>
      </w:r>
      <w:r>
        <w:rPr>
          <w:vertAlign w:val="baseline"/>
        </w:rPr>
        <w:t>normal O</w:t>
      </w:r>
      <w:r>
        <w:rPr>
          <w:vertAlign w:val="subscript"/>
        </w:rPr>
        <w:t>2</w:t>
      </w:r>
      <w:r>
        <w:rPr>
          <w:spacing w:val="40"/>
          <w:vertAlign w:val="baseline"/>
        </w:rPr>
        <w:t> </w:t>
      </w:r>
      <w:r>
        <w:rPr>
          <w:vertAlign w:val="baseline"/>
        </w:rPr>
        <w:t>delivery to</w:t>
      </w:r>
      <w:r>
        <w:rPr>
          <w:spacing w:val="40"/>
          <w:vertAlign w:val="baseline"/>
        </w:rPr>
        <w:t> </w:t>
      </w:r>
      <w:r>
        <w:rPr>
          <w:vertAlign w:val="baseline"/>
        </w:rPr>
        <w:t>tissues</w:t>
      </w:r>
      <w:r>
        <w:rPr>
          <w:spacing w:val="40"/>
          <w:vertAlign w:val="baseline"/>
        </w:rPr>
        <w:t> </w:t>
      </w:r>
      <w:r>
        <w:rPr>
          <w:vertAlign w:val="baseline"/>
        </w:rPr>
        <w:t>under</w:t>
      </w:r>
      <w:r>
        <w:rPr>
          <w:spacing w:val="40"/>
          <w:vertAlign w:val="baseline"/>
        </w:rPr>
        <w:t> </w:t>
      </w:r>
      <w:r>
        <w:rPr>
          <w:vertAlign w:val="baseline"/>
        </w:rPr>
        <w:t>conditions</w:t>
      </w:r>
      <w:r>
        <w:rPr>
          <w:spacing w:val="40"/>
          <w:vertAlign w:val="baseline"/>
        </w:rPr>
        <w:t> </w:t>
      </w:r>
      <w:r>
        <w:rPr>
          <w:vertAlign w:val="baseline"/>
        </w:rPr>
        <w:t>of hypoxia, compensatory haematological responses such as increased erythrocyte count, haematocrit, and Hb levels occur. The dose-response relationship for CO-induced compensatory haematological responses</w:t>
      </w:r>
      <w:r>
        <w:rPr>
          <w:spacing w:val="27"/>
          <w:vertAlign w:val="baseline"/>
        </w:rPr>
        <w:t> </w:t>
      </w:r>
      <w:r>
        <w:rPr>
          <w:vertAlign w:val="baseline"/>
        </w:rPr>
        <w:t>in</w:t>
      </w:r>
      <w:r>
        <w:rPr>
          <w:spacing w:val="32"/>
          <w:vertAlign w:val="baseline"/>
        </w:rPr>
        <w:t> </w:t>
      </w:r>
      <w:r>
        <w:rPr>
          <w:vertAlign w:val="baseline"/>
        </w:rPr>
        <w:t>humans</w:t>
      </w:r>
      <w:r>
        <w:rPr>
          <w:spacing w:val="27"/>
          <w:vertAlign w:val="baseline"/>
        </w:rPr>
        <w:t> </w:t>
      </w:r>
      <w:r>
        <w:rPr>
          <w:vertAlign w:val="baseline"/>
        </w:rPr>
        <w:t>has</w:t>
      </w:r>
      <w:r>
        <w:rPr>
          <w:spacing w:val="27"/>
          <w:vertAlign w:val="baseline"/>
        </w:rPr>
        <w:t> </w:t>
      </w:r>
      <w:r>
        <w:rPr>
          <w:vertAlign w:val="baseline"/>
        </w:rPr>
        <w:t>not been established</w:t>
      </w:r>
      <w:r>
        <w:rPr>
          <w:spacing w:val="25"/>
          <w:vertAlign w:val="baseline"/>
        </w:rPr>
        <w:t> </w:t>
      </w:r>
      <w:r>
        <w:rPr>
          <w:vertAlign w:val="baseline"/>
        </w:rPr>
        <w:t>as opposed to animal models. The notable effects, including increased blood volume, Hb,</w:t>
      </w:r>
      <w:r>
        <w:rPr>
          <w:spacing w:val="80"/>
          <w:vertAlign w:val="baseline"/>
        </w:rPr>
        <w:t> </w:t>
      </w:r>
      <w:r>
        <w:rPr>
          <w:vertAlign w:val="baseline"/>
        </w:rPr>
        <w:t>haematocrit,</w:t>
      </w:r>
      <w:r>
        <w:rPr>
          <w:spacing w:val="40"/>
          <w:vertAlign w:val="baseline"/>
        </w:rPr>
        <w:t> </w:t>
      </w:r>
      <w:r>
        <w:rPr>
          <w:vertAlign w:val="baseline"/>
        </w:rPr>
        <w:t>and</w:t>
      </w:r>
      <w:r>
        <w:rPr>
          <w:spacing w:val="40"/>
          <w:vertAlign w:val="baseline"/>
        </w:rPr>
        <w:t> </w:t>
      </w:r>
      <w:r>
        <w:rPr>
          <w:vertAlign w:val="baseline"/>
        </w:rPr>
        <w:t>erythrocyte</w:t>
      </w:r>
      <w:r>
        <w:rPr>
          <w:spacing w:val="40"/>
          <w:vertAlign w:val="baseline"/>
        </w:rPr>
        <w:t> </w:t>
      </w:r>
      <w:r>
        <w:rPr>
          <w:vertAlign w:val="baseline"/>
        </w:rPr>
        <w:t>count</w:t>
      </w:r>
      <w:r>
        <w:rPr>
          <w:spacing w:val="40"/>
          <w:vertAlign w:val="baseline"/>
        </w:rPr>
        <w:t> </w:t>
      </w:r>
      <w:r>
        <w:rPr>
          <w:vertAlign w:val="baseline"/>
        </w:rPr>
        <w:t>and</w:t>
      </w:r>
      <w:r>
        <w:rPr>
          <w:spacing w:val="40"/>
          <w:vertAlign w:val="baseline"/>
        </w:rPr>
        <w:t> </w:t>
      </w:r>
      <w:r>
        <w:rPr>
          <w:vertAlign w:val="baseline"/>
        </w:rPr>
        <w:t>volume,</w:t>
      </w:r>
      <w:r>
        <w:rPr>
          <w:spacing w:val="40"/>
          <w:vertAlign w:val="baseline"/>
        </w:rPr>
        <w:t> </w:t>
      </w:r>
      <w:r>
        <w:rPr>
          <w:vertAlign w:val="baseline"/>
        </w:rPr>
        <w:t>have</w:t>
      </w:r>
      <w:r>
        <w:rPr>
          <w:spacing w:val="40"/>
          <w:vertAlign w:val="baseline"/>
        </w:rPr>
        <w:t> </w:t>
      </w:r>
      <w:r>
        <w:rPr>
          <w:vertAlign w:val="baseline"/>
        </w:rPr>
        <w:t>been</w:t>
      </w:r>
      <w:r>
        <w:rPr>
          <w:spacing w:val="40"/>
          <w:vertAlign w:val="baseline"/>
        </w:rPr>
        <w:t> </w:t>
      </w:r>
      <w:r>
        <w:rPr>
          <w:vertAlign w:val="baseline"/>
        </w:rPr>
        <w:t>observed</w:t>
      </w:r>
      <w:r>
        <w:rPr>
          <w:spacing w:val="40"/>
          <w:vertAlign w:val="baseline"/>
        </w:rPr>
        <w:t> </w:t>
      </w:r>
      <w:r>
        <w:rPr>
          <w:vertAlign w:val="baseline"/>
        </w:rPr>
        <w:t>following</w:t>
      </w:r>
      <w:r>
        <w:rPr>
          <w:spacing w:val="40"/>
          <w:vertAlign w:val="baseline"/>
        </w:rPr>
        <w:t> </w:t>
      </w:r>
      <w:r>
        <w:rPr>
          <w:vertAlign w:val="baseline"/>
        </w:rPr>
        <w:t>acute and intermediate duration of CO exposure (WHO, 2000).</w:t>
      </w:r>
    </w:p>
    <w:p>
      <w:pPr>
        <w:spacing w:after="0" w:line="491" w:lineRule="auto"/>
        <w:jc w:val="both"/>
        <w:sectPr>
          <w:pgSz w:w="12240" w:h="15840"/>
          <w:pgMar w:header="0" w:footer="916" w:top="1260" w:bottom="1100" w:left="1720" w:right="9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53"/>
        <w:rPr>
          <w:sz w:val="20"/>
        </w:rPr>
      </w:pPr>
    </w:p>
    <w:p>
      <w:pPr>
        <w:pStyle w:val="BodyText"/>
        <w:ind w:left="785"/>
        <w:rPr>
          <w:sz w:val="20"/>
        </w:rPr>
      </w:pPr>
      <w:r>
        <w:rPr>
          <w:sz w:val="20"/>
        </w:rPr>
        <w:drawing>
          <wp:inline distT="0" distB="0" distL="0" distR="0">
            <wp:extent cx="3901440" cy="3584448"/>
            <wp:effectExtent l="0" t="0" r="0" b="0"/>
            <wp:docPr id="5" name="Image 5"/>
            <wp:cNvGraphicFramePr>
              <a:graphicFrameLocks/>
            </wp:cNvGraphicFramePr>
            <a:graphic>
              <a:graphicData uri="http://schemas.openxmlformats.org/drawingml/2006/picture">
                <pic:pic>
                  <pic:nvPicPr>
                    <pic:cNvPr id="5" name="Image 5"/>
                    <pic:cNvPicPr/>
                  </pic:nvPicPr>
                  <pic:blipFill>
                    <a:blip r:embed="rId9" cstate="print"/>
                    <a:stretch>
                      <a:fillRect/>
                    </a:stretch>
                  </pic:blipFill>
                  <pic:spPr>
                    <a:xfrm>
                      <a:off x="0" y="0"/>
                      <a:ext cx="3901440" cy="3584448"/>
                    </a:xfrm>
                    <a:prstGeom prst="rect">
                      <a:avLst/>
                    </a:prstGeom>
                  </pic:spPr>
                </pic:pic>
              </a:graphicData>
            </a:graphic>
          </wp:inline>
        </w:drawing>
      </w:r>
      <w:r>
        <w:rPr>
          <w:sz w:val="20"/>
        </w:rPr>
      </w:r>
    </w:p>
    <w:p>
      <w:pPr>
        <w:pStyle w:val="BodyText"/>
      </w:pPr>
    </w:p>
    <w:p>
      <w:pPr>
        <w:pStyle w:val="BodyText"/>
      </w:pPr>
    </w:p>
    <w:p>
      <w:pPr>
        <w:pStyle w:val="BodyText"/>
        <w:spacing w:before="48"/>
      </w:pPr>
    </w:p>
    <w:p>
      <w:pPr>
        <w:pStyle w:val="Heading3"/>
        <w:spacing w:line="491" w:lineRule="auto"/>
        <w:ind w:right="896"/>
        <w:jc w:val="both"/>
      </w:pPr>
      <w:r>
        <w:rPr/>
        <w:t>Figure 2.1: Oxyhemoglobin dissociation curve of normal human blood, of blood containing 50% COHb, and of blood with only 50% Hb because of anaemia</w:t>
      </w:r>
      <w:r>
        <w:rPr>
          <w:spacing w:val="40"/>
        </w:rPr>
        <w:t> </w:t>
      </w:r>
      <w:r>
        <w:rPr/>
        <w:t>(USEPA, 1991).</w:t>
      </w:r>
    </w:p>
    <w:p>
      <w:pPr>
        <w:pStyle w:val="BodyText"/>
        <w:rPr>
          <w:b/>
        </w:rPr>
      </w:pPr>
    </w:p>
    <w:p>
      <w:pPr>
        <w:pStyle w:val="BodyText"/>
        <w:spacing w:before="7"/>
        <w:rPr>
          <w:b/>
        </w:rPr>
      </w:pPr>
    </w:p>
    <w:p>
      <w:pPr>
        <w:pStyle w:val="BodyText"/>
        <w:spacing w:line="491" w:lineRule="auto"/>
        <w:ind w:left="665" w:right="907"/>
        <w:jc w:val="both"/>
      </w:pPr>
      <w:r>
        <w:rPr/>
        <w:t>The</w:t>
      </w:r>
      <w:r>
        <w:rPr>
          <w:spacing w:val="40"/>
        </w:rPr>
        <w:t> </w:t>
      </w:r>
      <w:r>
        <w:rPr/>
        <w:t>figure</w:t>
      </w:r>
      <w:r>
        <w:rPr>
          <w:spacing w:val="40"/>
        </w:rPr>
        <w:t> </w:t>
      </w:r>
      <w:r>
        <w:rPr/>
        <w:t>above</w:t>
      </w:r>
      <w:r>
        <w:rPr>
          <w:spacing w:val="40"/>
        </w:rPr>
        <w:t> </w:t>
      </w:r>
      <w:r>
        <w:rPr/>
        <w:t>shows</w:t>
      </w:r>
      <w:r>
        <w:rPr>
          <w:spacing w:val="40"/>
        </w:rPr>
        <w:t> </w:t>
      </w:r>
      <w:r>
        <w:rPr/>
        <w:t>decreased</w:t>
      </w:r>
      <w:r>
        <w:rPr>
          <w:spacing w:val="40"/>
        </w:rPr>
        <w:t> </w:t>
      </w:r>
      <w:r>
        <w:rPr/>
        <w:t>capacity</w:t>
      </w:r>
      <w:r>
        <w:rPr>
          <w:spacing w:val="40"/>
        </w:rPr>
        <w:t> </w:t>
      </w:r>
      <w:r>
        <w:rPr/>
        <w:t>of</w:t>
      </w:r>
      <w:r>
        <w:rPr>
          <w:spacing w:val="40"/>
        </w:rPr>
        <w:t> </w:t>
      </w:r>
      <w:r>
        <w:rPr/>
        <w:t>the</w:t>
      </w:r>
      <w:r>
        <w:rPr>
          <w:spacing w:val="40"/>
        </w:rPr>
        <w:t> </w:t>
      </w:r>
      <w:r>
        <w:rPr/>
        <w:t>blood</w:t>
      </w:r>
      <w:r>
        <w:rPr>
          <w:spacing w:val="40"/>
        </w:rPr>
        <w:t> </w:t>
      </w:r>
      <w:r>
        <w:rPr/>
        <w:t>containing</w:t>
      </w:r>
      <w:r>
        <w:rPr>
          <w:spacing w:val="40"/>
        </w:rPr>
        <w:t> </w:t>
      </w:r>
      <w:r>
        <w:rPr/>
        <w:t>50%</w:t>
      </w:r>
      <w:r>
        <w:rPr>
          <w:spacing w:val="40"/>
        </w:rPr>
        <w:t> </w:t>
      </w:r>
      <w:r>
        <w:rPr/>
        <w:t>COHb</w:t>
      </w:r>
      <w:r>
        <w:rPr>
          <w:spacing w:val="40"/>
        </w:rPr>
        <w:t> </w:t>
      </w:r>
      <w:r>
        <w:rPr/>
        <w:t>and 50%</w:t>
      </w:r>
      <w:r>
        <w:rPr>
          <w:spacing w:val="36"/>
        </w:rPr>
        <w:t> </w:t>
      </w:r>
      <w:r>
        <w:rPr/>
        <w:t>Hb</w:t>
      </w:r>
      <w:r>
        <w:rPr>
          <w:spacing w:val="49"/>
        </w:rPr>
        <w:t> </w:t>
      </w:r>
      <w:r>
        <w:rPr/>
        <w:t>to</w:t>
      </w:r>
      <w:r>
        <w:rPr>
          <w:spacing w:val="44"/>
        </w:rPr>
        <w:t> </w:t>
      </w:r>
      <w:r>
        <w:rPr/>
        <w:t>carry</w:t>
      </w:r>
      <w:r>
        <w:rPr>
          <w:spacing w:val="28"/>
        </w:rPr>
        <w:t> </w:t>
      </w:r>
      <w:r>
        <w:rPr/>
        <w:t>enough</w:t>
      </w:r>
      <w:r>
        <w:rPr>
          <w:spacing w:val="35"/>
        </w:rPr>
        <w:t> </w:t>
      </w:r>
      <w:r>
        <w:rPr/>
        <w:t>oxygen</w:t>
      </w:r>
      <w:r>
        <w:rPr>
          <w:spacing w:val="39"/>
        </w:rPr>
        <w:t> </w:t>
      </w:r>
      <w:r>
        <w:rPr/>
        <w:t>as</w:t>
      </w:r>
      <w:r>
        <w:rPr>
          <w:spacing w:val="41"/>
        </w:rPr>
        <w:t> </w:t>
      </w:r>
      <w:r>
        <w:rPr/>
        <w:t>compared</w:t>
      </w:r>
      <w:r>
        <w:rPr>
          <w:spacing w:val="43"/>
        </w:rPr>
        <w:t> </w:t>
      </w:r>
      <w:r>
        <w:rPr/>
        <w:t>to</w:t>
      </w:r>
      <w:r>
        <w:rPr>
          <w:spacing w:val="49"/>
        </w:rPr>
        <w:t> </w:t>
      </w:r>
      <w:r>
        <w:rPr/>
        <w:t>the</w:t>
      </w:r>
      <w:r>
        <w:rPr>
          <w:spacing w:val="42"/>
        </w:rPr>
        <w:t> </w:t>
      </w:r>
      <w:r>
        <w:rPr/>
        <w:t>normal.</w:t>
      </w:r>
      <w:r>
        <w:rPr>
          <w:spacing w:val="45"/>
        </w:rPr>
        <w:t> </w:t>
      </w:r>
      <w:r>
        <w:rPr/>
        <w:t>It</w:t>
      </w:r>
      <w:r>
        <w:rPr>
          <w:spacing w:val="41"/>
        </w:rPr>
        <w:t> </w:t>
      </w:r>
      <w:r>
        <w:rPr/>
        <w:t>also</w:t>
      </w:r>
      <w:r>
        <w:rPr>
          <w:spacing w:val="44"/>
        </w:rPr>
        <w:t> </w:t>
      </w:r>
      <w:r>
        <w:rPr/>
        <w:t>shows</w:t>
      </w:r>
      <w:r>
        <w:rPr>
          <w:spacing w:val="40"/>
        </w:rPr>
        <w:t> </w:t>
      </w:r>
      <w:r>
        <w:rPr>
          <w:spacing w:val="-2"/>
        </w:rPr>
        <w:t>impaired</w:t>
      </w:r>
    </w:p>
    <w:p>
      <w:pPr>
        <w:spacing w:after="0" w:line="491" w:lineRule="auto"/>
        <w:jc w:val="both"/>
        <w:sectPr>
          <w:pgSz w:w="12240" w:h="15840"/>
          <w:pgMar w:header="0" w:footer="916" w:top="1820" w:bottom="1100" w:left="1720" w:right="960"/>
        </w:sectPr>
      </w:pPr>
    </w:p>
    <w:p>
      <w:pPr>
        <w:pStyle w:val="BodyText"/>
        <w:spacing w:line="491" w:lineRule="auto" w:before="75"/>
        <w:ind w:left="665" w:right="896"/>
      </w:pPr>
      <w:r>
        <w:rPr/>
        <w:t>release</w:t>
      </w:r>
      <w:r>
        <w:rPr>
          <w:spacing w:val="40"/>
        </w:rPr>
        <w:t> </w:t>
      </w:r>
      <w:r>
        <w:rPr/>
        <w:t>of</w:t>
      </w:r>
      <w:r>
        <w:rPr>
          <w:spacing w:val="40"/>
        </w:rPr>
        <w:t> </w:t>
      </w:r>
      <w:r>
        <w:rPr/>
        <w:t>oxygen</w:t>
      </w:r>
      <w:r>
        <w:rPr>
          <w:spacing w:val="37"/>
        </w:rPr>
        <w:t> </w:t>
      </w:r>
      <w:r>
        <w:rPr/>
        <w:t>by</w:t>
      </w:r>
      <w:r>
        <w:rPr>
          <w:spacing w:val="38"/>
        </w:rPr>
        <w:t> </w:t>
      </w:r>
      <w:r>
        <w:rPr/>
        <w:t>the</w:t>
      </w:r>
      <w:r>
        <w:rPr>
          <w:spacing w:val="40"/>
        </w:rPr>
        <w:t> </w:t>
      </w:r>
      <w:r>
        <w:rPr/>
        <w:t>blood</w:t>
      </w:r>
      <w:r>
        <w:rPr>
          <w:spacing w:val="40"/>
        </w:rPr>
        <w:t> </w:t>
      </w:r>
      <w:r>
        <w:rPr/>
        <w:t>containing</w:t>
      </w:r>
      <w:r>
        <w:rPr>
          <w:spacing w:val="37"/>
        </w:rPr>
        <w:t> </w:t>
      </w:r>
      <w:r>
        <w:rPr/>
        <w:t>50%</w:t>
      </w:r>
      <w:r>
        <w:rPr>
          <w:spacing w:val="39"/>
        </w:rPr>
        <w:t> </w:t>
      </w:r>
      <w:r>
        <w:rPr/>
        <w:t>COHb</w:t>
      </w:r>
      <w:r>
        <w:rPr>
          <w:spacing w:val="40"/>
        </w:rPr>
        <w:t> </w:t>
      </w:r>
      <w:r>
        <w:rPr/>
        <w:t>and</w:t>
      </w:r>
      <w:r>
        <w:rPr>
          <w:spacing w:val="40"/>
        </w:rPr>
        <w:t> </w:t>
      </w:r>
      <w:r>
        <w:rPr/>
        <w:t>50%</w:t>
      </w:r>
      <w:r>
        <w:rPr>
          <w:spacing w:val="39"/>
        </w:rPr>
        <w:t> </w:t>
      </w:r>
      <w:r>
        <w:rPr/>
        <w:t>Hb</w:t>
      </w:r>
      <w:r>
        <w:rPr>
          <w:spacing w:val="40"/>
        </w:rPr>
        <w:t> </w:t>
      </w:r>
      <w:r>
        <w:rPr/>
        <w:t>due</w:t>
      </w:r>
      <w:r>
        <w:rPr>
          <w:spacing w:val="40"/>
        </w:rPr>
        <w:t> </w:t>
      </w:r>
      <w:r>
        <w:rPr/>
        <w:t>to</w:t>
      </w:r>
      <w:r>
        <w:rPr>
          <w:spacing w:val="40"/>
        </w:rPr>
        <w:t> </w:t>
      </w:r>
      <w:r>
        <w:rPr/>
        <w:t>the</w:t>
      </w:r>
      <w:r>
        <w:rPr>
          <w:spacing w:val="40"/>
        </w:rPr>
        <w:t> </w:t>
      </w:r>
      <w:r>
        <w:rPr/>
        <w:t>high affinity to oxygen when compared to the normal blood.</w:t>
      </w:r>
    </w:p>
    <w:p>
      <w:pPr>
        <w:spacing w:after="0" w:line="491" w:lineRule="auto"/>
        <w:sectPr>
          <w:pgSz w:w="12240" w:h="15840"/>
          <w:pgMar w:header="0" w:footer="916" w:top="1260" w:bottom="1100" w:left="1720" w:right="960"/>
        </w:sectPr>
      </w:pPr>
    </w:p>
    <w:p>
      <w:pPr>
        <w:pStyle w:val="Heading1"/>
        <w:ind w:right="238"/>
      </w:pPr>
      <w:bookmarkStart w:name="_TOC_250029" w:id="28"/>
      <w:r>
        <w:rPr/>
        <w:t>CHAPTER</w:t>
      </w:r>
      <w:r>
        <w:rPr>
          <w:spacing w:val="11"/>
        </w:rPr>
        <w:t> </w:t>
      </w:r>
      <w:bookmarkEnd w:id="28"/>
      <w:r>
        <w:rPr>
          <w:spacing w:val="-4"/>
        </w:rPr>
        <w:t>THREE</w:t>
      </w:r>
    </w:p>
    <w:p>
      <w:pPr>
        <w:pStyle w:val="BodyText"/>
        <w:rPr>
          <w:b/>
        </w:rPr>
      </w:pPr>
    </w:p>
    <w:p>
      <w:pPr>
        <w:pStyle w:val="BodyText"/>
        <w:rPr>
          <w:b/>
        </w:rPr>
      </w:pPr>
    </w:p>
    <w:p>
      <w:pPr>
        <w:pStyle w:val="BodyText"/>
        <w:spacing w:before="79"/>
        <w:rPr>
          <w:b/>
        </w:rPr>
      </w:pPr>
    </w:p>
    <w:p>
      <w:pPr>
        <w:pStyle w:val="Heading2"/>
        <w:numPr>
          <w:ilvl w:val="1"/>
          <w:numId w:val="20"/>
        </w:numPr>
        <w:tabs>
          <w:tab w:pos="1008" w:val="left" w:leader="none"/>
        </w:tabs>
        <w:spacing w:line="240" w:lineRule="auto" w:before="0" w:after="0"/>
        <w:ind w:left="1008" w:right="0" w:hanging="343"/>
        <w:jc w:val="left"/>
      </w:pPr>
      <w:bookmarkStart w:name="_TOC_250028" w:id="29"/>
      <w:bookmarkEnd w:id="29"/>
      <w:r>
        <w:rPr>
          <w:spacing w:val="-2"/>
        </w:rPr>
        <w:t>MATERIALS</w:t>
      </w:r>
    </w:p>
    <w:p>
      <w:pPr>
        <w:pStyle w:val="BodyText"/>
        <w:rPr>
          <w:b/>
        </w:rPr>
      </w:pPr>
    </w:p>
    <w:p>
      <w:pPr>
        <w:pStyle w:val="BodyText"/>
        <w:rPr>
          <w:b/>
        </w:rPr>
      </w:pPr>
    </w:p>
    <w:p>
      <w:pPr>
        <w:pStyle w:val="BodyText"/>
        <w:spacing w:before="25"/>
        <w:rPr>
          <w:b/>
        </w:rPr>
      </w:pPr>
    </w:p>
    <w:p>
      <w:pPr>
        <w:pStyle w:val="Heading3"/>
        <w:numPr>
          <w:ilvl w:val="2"/>
          <w:numId w:val="21"/>
        </w:numPr>
        <w:tabs>
          <w:tab w:pos="1171" w:val="left" w:leader="none"/>
        </w:tabs>
        <w:spacing w:line="240" w:lineRule="auto" w:before="0" w:after="0"/>
        <w:ind w:left="1171" w:right="0" w:hanging="506"/>
        <w:jc w:val="left"/>
      </w:pPr>
      <w:bookmarkStart w:name="_TOC_250027" w:id="30"/>
      <w:r>
        <w:rPr/>
        <w:t>Source</w:t>
      </w:r>
      <w:r>
        <w:rPr>
          <w:spacing w:val="6"/>
        </w:rPr>
        <w:t> </w:t>
      </w:r>
      <w:r>
        <w:rPr/>
        <w:t>of</w:t>
      </w:r>
      <w:r>
        <w:rPr>
          <w:spacing w:val="14"/>
        </w:rPr>
        <w:t> </w:t>
      </w:r>
      <w:r>
        <w:rPr/>
        <w:t>carbon</w:t>
      </w:r>
      <w:r>
        <w:rPr>
          <w:spacing w:val="15"/>
        </w:rPr>
        <w:t> </w:t>
      </w:r>
      <w:bookmarkEnd w:id="30"/>
      <w:r>
        <w:rPr>
          <w:spacing w:val="-2"/>
        </w:rPr>
        <w:t>monoxide</w:t>
      </w:r>
    </w:p>
    <w:p>
      <w:pPr>
        <w:pStyle w:val="BodyText"/>
        <w:spacing w:before="7"/>
        <w:rPr>
          <w:b/>
        </w:rPr>
      </w:pPr>
    </w:p>
    <w:p>
      <w:pPr>
        <w:pStyle w:val="BodyText"/>
        <w:spacing w:line="491" w:lineRule="auto" w:before="1"/>
        <w:ind w:left="665" w:right="897"/>
        <w:jc w:val="both"/>
      </w:pPr>
      <w:r>
        <w:rPr/>
        <w:t>The source of CO will be from the exhaust fumes of a gasoline-powered generator (TIGER, TG950, 220v/240v).</w:t>
      </w:r>
    </w:p>
    <w:p>
      <w:pPr>
        <w:pStyle w:val="BodyText"/>
      </w:pPr>
    </w:p>
    <w:p>
      <w:pPr>
        <w:pStyle w:val="BodyText"/>
        <w:spacing w:before="16"/>
      </w:pPr>
    </w:p>
    <w:p>
      <w:pPr>
        <w:pStyle w:val="Heading3"/>
        <w:numPr>
          <w:ilvl w:val="2"/>
          <w:numId w:val="21"/>
        </w:numPr>
        <w:tabs>
          <w:tab w:pos="1171" w:val="left" w:leader="none"/>
        </w:tabs>
        <w:spacing w:line="240" w:lineRule="auto" w:before="0" w:after="0"/>
        <w:ind w:left="1171" w:right="0" w:hanging="506"/>
        <w:jc w:val="left"/>
      </w:pPr>
      <w:bookmarkStart w:name="_TOC_250026" w:id="31"/>
      <w:r>
        <w:rPr/>
        <w:t>Portable</w:t>
      </w:r>
      <w:r>
        <w:rPr>
          <w:spacing w:val="11"/>
        </w:rPr>
        <w:t> </w:t>
      </w:r>
      <w:r>
        <w:rPr/>
        <w:t>carbon</w:t>
      </w:r>
      <w:r>
        <w:rPr>
          <w:spacing w:val="22"/>
        </w:rPr>
        <w:t> </w:t>
      </w:r>
      <w:r>
        <w:rPr/>
        <w:t>monoxide</w:t>
      </w:r>
      <w:r>
        <w:rPr>
          <w:spacing w:val="13"/>
        </w:rPr>
        <w:t> </w:t>
      </w:r>
      <w:r>
        <w:rPr/>
        <w:t>gas</w:t>
      </w:r>
      <w:r>
        <w:rPr>
          <w:spacing w:val="3"/>
        </w:rPr>
        <w:t> </w:t>
      </w:r>
      <w:bookmarkEnd w:id="31"/>
      <w:r>
        <w:rPr>
          <w:spacing w:val="-2"/>
        </w:rPr>
        <w:t>analyser</w:t>
      </w:r>
    </w:p>
    <w:p>
      <w:pPr>
        <w:pStyle w:val="BodyText"/>
        <w:spacing w:before="3"/>
        <w:rPr>
          <w:b/>
        </w:rPr>
      </w:pPr>
    </w:p>
    <w:p>
      <w:pPr>
        <w:pStyle w:val="BodyText"/>
        <w:spacing w:line="491" w:lineRule="auto"/>
        <w:ind w:left="665" w:right="897"/>
        <w:jc w:val="both"/>
      </w:pPr>
      <w:r>
        <w:rPr/>
        <w:t>The</w:t>
      </w:r>
      <w:r>
        <w:rPr>
          <w:spacing w:val="40"/>
        </w:rPr>
        <w:t> </w:t>
      </w:r>
      <w:r>
        <w:rPr/>
        <w:t>carbon</w:t>
      </w:r>
      <w:r>
        <w:rPr>
          <w:spacing w:val="40"/>
        </w:rPr>
        <w:t> </w:t>
      </w:r>
      <w:r>
        <w:rPr/>
        <w:t>monoxide</w:t>
      </w:r>
      <w:r>
        <w:rPr>
          <w:spacing w:val="40"/>
        </w:rPr>
        <w:t> </w:t>
      </w:r>
      <w:r>
        <w:rPr/>
        <w:t>meter</w:t>
      </w:r>
      <w:r>
        <w:rPr>
          <w:spacing w:val="40"/>
        </w:rPr>
        <w:t> </w:t>
      </w:r>
      <w:r>
        <w:rPr/>
        <w:t>CM100</w:t>
      </w:r>
      <w:r>
        <w:rPr>
          <w:spacing w:val="40"/>
        </w:rPr>
        <w:t> </w:t>
      </w:r>
      <w:r>
        <w:rPr/>
        <w:t>from</w:t>
      </w:r>
      <w:r>
        <w:rPr>
          <w:spacing w:val="40"/>
        </w:rPr>
        <w:t> </w:t>
      </w:r>
      <w:r>
        <w:rPr/>
        <w:t>Amprobe,</w:t>
      </w:r>
      <w:r>
        <w:rPr>
          <w:spacing w:val="40"/>
        </w:rPr>
        <w:t> </w:t>
      </w:r>
      <w:r>
        <w:rPr/>
        <w:t>China,</w:t>
      </w:r>
      <w:r>
        <w:rPr>
          <w:spacing w:val="40"/>
        </w:rPr>
        <w:t> </w:t>
      </w:r>
      <w:r>
        <w:rPr/>
        <w:t>with</w:t>
      </w:r>
      <w:r>
        <w:rPr>
          <w:spacing w:val="40"/>
        </w:rPr>
        <w:t> </w:t>
      </w:r>
      <w:r>
        <w:rPr/>
        <w:t>serial</w:t>
      </w:r>
      <w:r>
        <w:rPr>
          <w:spacing w:val="40"/>
        </w:rPr>
        <w:t> </w:t>
      </w:r>
      <w:r>
        <w:rPr/>
        <w:t>number 10060391 was used. The meter has the following technical specifications; carbon monoxide range</w:t>
      </w:r>
      <w:r>
        <w:rPr>
          <w:spacing w:val="40"/>
        </w:rPr>
        <w:t> </w:t>
      </w:r>
      <w:r>
        <w:rPr/>
        <w:t>is 0 – 999 ppm (parts per million); error resolution of 1 ppm and</w:t>
      </w:r>
      <w:r>
        <w:rPr>
          <w:spacing w:val="40"/>
        </w:rPr>
        <w:t> </w:t>
      </w:r>
      <w:r>
        <w:rPr/>
        <w:t>accuracy of +/- 15% at 100 – 500 ppm. The meter has a screen and a backlight for operation in the dark.</w:t>
      </w:r>
    </w:p>
    <w:p>
      <w:pPr>
        <w:pStyle w:val="BodyText"/>
      </w:pPr>
    </w:p>
    <w:p>
      <w:pPr>
        <w:pStyle w:val="BodyText"/>
        <w:spacing w:before="16"/>
      </w:pPr>
    </w:p>
    <w:p>
      <w:pPr>
        <w:pStyle w:val="BodyText"/>
        <w:spacing w:line="491" w:lineRule="auto"/>
        <w:ind w:left="665" w:right="904"/>
        <w:jc w:val="both"/>
      </w:pPr>
      <w:r>
        <w:rPr/>
        <w:t>The dose in parts per million (ppm) of CO exposure was recorded by the digital CO gas analyser placed inside the gas chamber together with the experimental animals. The exposure dose was in the range</w:t>
      </w:r>
      <w:r>
        <w:rPr>
          <w:spacing w:val="25"/>
        </w:rPr>
        <w:t> </w:t>
      </w:r>
      <w:r>
        <w:rPr/>
        <w:t>of 100</w:t>
      </w:r>
      <w:r>
        <w:rPr>
          <w:spacing w:val="25"/>
        </w:rPr>
        <w:t> </w:t>
      </w:r>
      <w:r>
        <w:rPr/>
        <w:t>- 150 ppm for 30, 60, and</w:t>
      </w:r>
      <w:r>
        <w:rPr>
          <w:spacing w:val="25"/>
        </w:rPr>
        <w:t> </w:t>
      </w:r>
      <w:r>
        <w:rPr/>
        <w:t>120 minutes.</w:t>
      </w:r>
    </w:p>
    <w:p>
      <w:pPr>
        <w:pStyle w:val="BodyText"/>
      </w:pPr>
    </w:p>
    <w:p>
      <w:pPr>
        <w:pStyle w:val="BodyText"/>
        <w:spacing w:before="17"/>
      </w:pPr>
    </w:p>
    <w:p>
      <w:pPr>
        <w:pStyle w:val="Heading3"/>
        <w:numPr>
          <w:ilvl w:val="2"/>
          <w:numId w:val="21"/>
        </w:numPr>
        <w:tabs>
          <w:tab w:pos="1171" w:val="left" w:leader="none"/>
        </w:tabs>
        <w:spacing w:line="240" w:lineRule="auto" w:before="0" w:after="0"/>
        <w:ind w:left="1171" w:right="0" w:hanging="506"/>
        <w:jc w:val="left"/>
      </w:pPr>
      <w:bookmarkStart w:name="_TOC_250025" w:id="32"/>
      <w:r>
        <w:rPr/>
        <w:t>Gas</w:t>
      </w:r>
      <w:r>
        <w:rPr>
          <w:spacing w:val="12"/>
        </w:rPr>
        <w:t> </w:t>
      </w:r>
      <w:bookmarkEnd w:id="32"/>
      <w:r>
        <w:rPr>
          <w:spacing w:val="-2"/>
        </w:rPr>
        <w:t>chamber</w:t>
      </w:r>
    </w:p>
    <w:p>
      <w:pPr>
        <w:pStyle w:val="BodyText"/>
        <w:spacing w:before="7"/>
        <w:rPr>
          <w:b/>
        </w:rPr>
      </w:pPr>
    </w:p>
    <w:p>
      <w:pPr>
        <w:pStyle w:val="BodyText"/>
        <w:spacing w:line="494" w:lineRule="auto" w:before="1"/>
        <w:ind w:left="665" w:right="900"/>
        <w:jc w:val="both"/>
      </w:pPr>
      <w:r>
        <w:rPr/>
        <w:t>It</w:t>
      </w:r>
      <w:r>
        <w:rPr>
          <w:spacing w:val="20"/>
        </w:rPr>
        <w:t> </w:t>
      </w:r>
      <w:r>
        <w:rPr/>
        <w:t>was</w:t>
      </w:r>
      <w:r>
        <w:rPr>
          <w:spacing w:val="19"/>
        </w:rPr>
        <w:t> </w:t>
      </w:r>
      <w:r>
        <w:rPr/>
        <w:t>an</w:t>
      </w:r>
      <w:r>
        <w:rPr>
          <w:spacing w:val="18"/>
        </w:rPr>
        <w:t> </w:t>
      </w:r>
      <w:r>
        <w:rPr/>
        <w:t>improvised</w:t>
      </w:r>
      <w:r>
        <w:rPr>
          <w:spacing w:val="29"/>
        </w:rPr>
        <w:t> </w:t>
      </w:r>
      <w:r>
        <w:rPr/>
        <w:t>chamber</w:t>
      </w:r>
      <w:r>
        <w:rPr>
          <w:spacing w:val="22"/>
        </w:rPr>
        <w:t> </w:t>
      </w:r>
      <w:r>
        <w:rPr/>
        <w:t>that</w:t>
      </w:r>
      <w:r>
        <w:rPr>
          <w:spacing w:val="21"/>
        </w:rPr>
        <w:t> </w:t>
      </w:r>
      <w:r>
        <w:rPr/>
        <w:t>was</w:t>
      </w:r>
      <w:r>
        <w:rPr>
          <w:spacing w:val="24"/>
        </w:rPr>
        <w:t> </w:t>
      </w:r>
      <w:r>
        <w:rPr/>
        <w:t>not</w:t>
      </w:r>
      <w:r>
        <w:rPr>
          <w:spacing w:val="21"/>
        </w:rPr>
        <w:t> </w:t>
      </w:r>
      <w:r>
        <w:rPr/>
        <w:t>air</w:t>
      </w:r>
      <w:r>
        <w:rPr>
          <w:spacing w:val="22"/>
        </w:rPr>
        <w:t> </w:t>
      </w:r>
      <w:r>
        <w:rPr/>
        <w:t>tight,</w:t>
      </w:r>
      <w:r>
        <w:rPr>
          <w:spacing w:val="28"/>
        </w:rPr>
        <w:t> </w:t>
      </w:r>
      <w:r>
        <w:rPr/>
        <w:t>but</w:t>
      </w:r>
      <w:r>
        <w:rPr>
          <w:spacing w:val="21"/>
        </w:rPr>
        <w:t> </w:t>
      </w:r>
      <w:r>
        <w:rPr/>
        <w:t>constructed</w:t>
      </w:r>
      <w:r>
        <w:rPr>
          <w:spacing w:val="23"/>
        </w:rPr>
        <w:t> </w:t>
      </w:r>
      <w:r>
        <w:rPr/>
        <w:t>in</w:t>
      </w:r>
      <w:r>
        <w:rPr>
          <w:spacing w:val="19"/>
        </w:rPr>
        <w:t> </w:t>
      </w:r>
      <w:r>
        <w:rPr/>
        <w:t>such</w:t>
      </w:r>
      <w:r>
        <w:rPr>
          <w:spacing w:val="19"/>
        </w:rPr>
        <w:t> </w:t>
      </w:r>
      <w:r>
        <w:rPr/>
        <w:t>a</w:t>
      </w:r>
      <w:r>
        <w:rPr>
          <w:spacing w:val="16"/>
        </w:rPr>
        <w:t> </w:t>
      </w:r>
      <w:r>
        <w:rPr/>
        <w:t>way that it</w:t>
      </w:r>
      <w:r>
        <w:rPr>
          <w:spacing w:val="24"/>
        </w:rPr>
        <w:t> </w:t>
      </w:r>
      <w:r>
        <w:rPr/>
        <w:t>provided</w:t>
      </w:r>
      <w:r>
        <w:rPr>
          <w:spacing w:val="22"/>
        </w:rPr>
        <w:t> </w:t>
      </w:r>
      <w:r>
        <w:rPr/>
        <w:t>partial</w:t>
      </w:r>
      <w:r>
        <w:rPr>
          <w:spacing w:val="24"/>
        </w:rPr>
        <w:t> </w:t>
      </w:r>
      <w:r>
        <w:rPr/>
        <w:t>ventilation</w:t>
      </w:r>
      <w:r>
        <w:rPr>
          <w:spacing w:val="17"/>
        </w:rPr>
        <w:t> </w:t>
      </w:r>
      <w:r>
        <w:rPr/>
        <w:t>to</w:t>
      </w:r>
      <w:r>
        <w:rPr>
          <w:spacing w:val="28"/>
        </w:rPr>
        <w:t> </w:t>
      </w:r>
      <w:r>
        <w:rPr/>
        <w:t>fresh</w:t>
      </w:r>
      <w:r>
        <w:rPr>
          <w:spacing w:val="17"/>
        </w:rPr>
        <w:t> </w:t>
      </w:r>
      <w:r>
        <w:rPr/>
        <w:t>air.</w:t>
      </w:r>
      <w:r>
        <w:rPr>
          <w:spacing w:val="21"/>
        </w:rPr>
        <w:t> </w:t>
      </w:r>
      <w:r>
        <w:rPr/>
        <w:t>Transparent</w:t>
      </w:r>
      <w:r>
        <w:rPr>
          <w:spacing w:val="24"/>
        </w:rPr>
        <w:t> </w:t>
      </w:r>
      <w:r>
        <w:rPr/>
        <w:t>polythene</w:t>
      </w:r>
      <w:r>
        <w:rPr>
          <w:spacing w:val="20"/>
        </w:rPr>
        <w:t> </w:t>
      </w:r>
      <w:r>
        <w:rPr/>
        <w:t>bag</w:t>
      </w:r>
      <w:r>
        <w:rPr>
          <w:spacing w:val="17"/>
        </w:rPr>
        <w:t> </w:t>
      </w:r>
      <w:r>
        <w:rPr/>
        <w:t>was</w:t>
      </w:r>
      <w:r>
        <w:rPr>
          <w:spacing w:val="17"/>
        </w:rPr>
        <w:t> </w:t>
      </w:r>
      <w:r>
        <w:rPr/>
        <w:t>used</w:t>
      </w:r>
      <w:r>
        <w:rPr>
          <w:spacing w:val="28"/>
        </w:rPr>
        <w:t> </w:t>
      </w:r>
      <w:r>
        <w:rPr/>
        <w:t>to</w:t>
      </w:r>
      <w:r>
        <w:rPr>
          <w:spacing w:val="28"/>
        </w:rPr>
        <w:t> </w:t>
      </w:r>
      <w:r>
        <w:rPr/>
        <w:t>cover a</w:t>
      </w:r>
      <w:r>
        <w:rPr>
          <w:spacing w:val="40"/>
        </w:rPr>
        <w:t> </w:t>
      </w:r>
      <w:r>
        <w:rPr/>
        <w:t>plastic</w:t>
      </w:r>
      <w:r>
        <w:rPr>
          <w:spacing w:val="40"/>
        </w:rPr>
        <w:t> </w:t>
      </w:r>
      <w:r>
        <w:rPr/>
        <w:t>frame</w:t>
      </w:r>
      <w:r>
        <w:rPr>
          <w:spacing w:val="40"/>
        </w:rPr>
        <w:t> </w:t>
      </w:r>
      <w:r>
        <w:rPr/>
        <w:t>measuring</w:t>
      </w:r>
      <w:r>
        <w:rPr>
          <w:spacing w:val="40"/>
        </w:rPr>
        <w:t> </w:t>
      </w:r>
      <w:r>
        <w:rPr/>
        <w:t>150</w:t>
      </w:r>
      <w:r>
        <w:rPr>
          <w:spacing w:val="40"/>
        </w:rPr>
        <w:t> </w:t>
      </w:r>
      <w:r>
        <w:rPr/>
        <w:t>cm</w:t>
      </w:r>
      <w:r>
        <w:rPr>
          <w:spacing w:val="40"/>
        </w:rPr>
        <w:t> </w:t>
      </w:r>
      <w:r>
        <w:rPr/>
        <w:t>x</w:t>
      </w:r>
      <w:r>
        <w:rPr>
          <w:spacing w:val="38"/>
        </w:rPr>
        <w:t> </w:t>
      </w:r>
      <w:r>
        <w:rPr/>
        <w:t>100</w:t>
      </w:r>
      <w:r>
        <w:rPr>
          <w:spacing w:val="40"/>
        </w:rPr>
        <w:t> </w:t>
      </w:r>
      <w:r>
        <w:rPr/>
        <w:t>cm</w:t>
      </w:r>
      <w:r>
        <w:rPr>
          <w:spacing w:val="40"/>
        </w:rPr>
        <w:t> </w:t>
      </w:r>
      <w:r>
        <w:rPr/>
        <w:t>x</w:t>
      </w:r>
      <w:r>
        <w:rPr>
          <w:spacing w:val="40"/>
        </w:rPr>
        <w:t> </w:t>
      </w:r>
      <w:r>
        <w:rPr/>
        <w:t>100</w:t>
      </w:r>
      <w:r>
        <w:rPr>
          <w:spacing w:val="40"/>
        </w:rPr>
        <w:t> </w:t>
      </w:r>
      <w:r>
        <w:rPr/>
        <w:t>cm</w:t>
      </w:r>
      <w:r>
        <w:rPr>
          <w:spacing w:val="40"/>
        </w:rPr>
        <w:t> </w:t>
      </w:r>
      <w:r>
        <w:rPr/>
        <w:t>to</w:t>
      </w:r>
      <w:r>
        <w:rPr>
          <w:spacing w:val="40"/>
        </w:rPr>
        <w:t> </w:t>
      </w:r>
      <w:r>
        <w:rPr/>
        <w:t>make</w:t>
      </w:r>
      <w:r>
        <w:rPr>
          <w:spacing w:val="40"/>
        </w:rPr>
        <w:t> </w:t>
      </w:r>
      <w:r>
        <w:rPr/>
        <w:t>it</w:t>
      </w:r>
      <w:r>
        <w:rPr>
          <w:spacing w:val="40"/>
        </w:rPr>
        <w:t> </w:t>
      </w:r>
      <w:r>
        <w:rPr/>
        <w:t>air</w:t>
      </w:r>
      <w:r>
        <w:rPr>
          <w:spacing w:val="40"/>
        </w:rPr>
        <w:t> </w:t>
      </w:r>
      <w:r>
        <w:rPr/>
        <w:t>tight</w:t>
      </w:r>
      <w:r>
        <w:rPr>
          <w:spacing w:val="40"/>
        </w:rPr>
        <w:t> </w:t>
      </w:r>
      <w:r>
        <w:rPr/>
        <w:t>with</w:t>
      </w:r>
      <w:r>
        <w:rPr>
          <w:spacing w:val="38"/>
        </w:rPr>
        <w:t> </w:t>
      </w:r>
      <w:r>
        <w:rPr/>
        <w:t>an opened window for ventilation.</w:t>
      </w:r>
    </w:p>
    <w:p>
      <w:pPr>
        <w:spacing w:after="0" w:line="494" w:lineRule="auto"/>
        <w:jc w:val="both"/>
        <w:sectPr>
          <w:pgSz w:w="12240" w:h="15840"/>
          <w:pgMar w:header="0" w:footer="916" w:top="1260" w:bottom="1100" w:left="1720" w:right="960"/>
        </w:sectPr>
      </w:pPr>
    </w:p>
    <w:p>
      <w:pPr>
        <w:pStyle w:val="BodyText"/>
        <w:ind w:left="665"/>
        <w:rPr>
          <w:sz w:val="20"/>
        </w:rPr>
      </w:pPr>
      <w:r>
        <w:rPr>
          <w:sz w:val="20"/>
        </w:rPr>
        <w:drawing>
          <wp:inline distT="0" distB="0" distL="0" distR="0">
            <wp:extent cx="5053279" cy="3717988"/>
            <wp:effectExtent l="0" t="0" r="0" b="0"/>
            <wp:docPr id="6" name="Image 6"/>
            <wp:cNvGraphicFramePr>
              <a:graphicFrameLocks/>
            </wp:cNvGraphicFramePr>
            <a:graphic>
              <a:graphicData uri="http://schemas.openxmlformats.org/drawingml/2006/picture">
                <pic:pic>
                  <pic:nvPicPr>
                    <pic:cNvPr id="6" name="Image 6"/>
                    <pic:cNvPicPr/>
                  </pic:nvPicPr>
                  <pic:blipFill>
                    <a:blip r:embed="rId10" cstate="print"/>
                    <a:stretch>
                      <a:fillRect/>
                    </a:stretch>
                  </pic:blipFill>
                  <pic:spPr>
                    <a:xfrm>
                      <a:off x="0" y="0"/>
                      <a:ext cx="5053279" cy="3717988"/>
                    </a:xfrm>
                    <a:prstGeom prst="rect">
                      <a:avLst/>
                    </a:prstGeom>
                  </pic:spPr>
                </pic:pic>
              </a:graphicData>
            </a:graphic>
          </wp:inline>
        </w:drawing>
      </w:r>
      <w:r>
        <w:rPr>
          <w:sz w:val="20"/>
        </w:rPr>
      </w:r>
    </w:p>
    <w:p>
      <w:pPr>
        <w:spacing w:before="250"/>
        <w:ind w:left="665" w:right="0" w:firstLine="0"/>
        <w:jc w:val="left"/>
        <w:rPr>
          <w:b/>
          <w:sz w:val="22"/>
        </w:rPr>
      </w:pPr>
      <w:r>
        <w:rPr>
          <w:b/>
          <w:sz w:val="22"/>
        </w:rPr>
        <w:t>Fig.</w:t>
      </w:r>
      <w:r>
        <w:rPr>
          <w:b/>
          <w:spacing w:val="5"/>
          <w:sz w:val="22"/>
        </w:rPr>
        <w:t> </w:t>
      </w:r>
      <w:r>
        <w:rPr>
          <w:b/>
          <w:sz w:val="22"/>
        </w:rPr>
        <w:t>3.1</w:t>
      </w:r>
      <w:r>
        <w:rPr>
          <w:b/>
          <w:spacing w:val="11"/>
          <w:sz w:val="22"/>
        </w:rPr>
        <w:t> </w:t>
      </w:r>
      <w:r>
        <w:rPr>
          <w:b/>
          <w:sz w:val="22"/>
        </w:rPr>
        <w:t>Gas</w:t>
      </w:r>
      <w:r>
        <w:rPr>
          <w:b/>
          <w:spacing w:val="8"/>
          <w:sz w:val="22"/>
        </w:rPr>
        <w:t> </w:t>
      </w:r>
      <w:r>
        <w:rPr>
          <w:b/>
          <w:spacing w:val="-2"/>
          <w:sz w:val="22"/>
        </w:rPr>
        <w:t>chamber.</w:t>
      </w:r>
    </w:p>
    <w:p>
      <w:pPr>
        <w:spacing w:after="0"/>
        <w:jc w:val="left"/>
        <w:rPr>
          <w:sz w:val="22"/>
        </w:rPr>
        <w:sectPr>
          <w:pgSz w:w="12240" w:h="15840"/>
          <w:pgMar w:header="0" w:footer="916" w:top="1320" w:bottom="1100" w:left="1720" w:right="960"/>
        </w:sectPr>
      </w:pPr>
    </w:p>
    <w:p>
      <w:pPr>
        <w:pStyle w:val="BodyText"/>
        <w:ind w:left="665"/>
        <w:rPr>
          <w:sz w:val="20"/>
        </w:rPr>
      </w:pPr>
      <w:r>
        <w:rPr>
          <w:sz w:val="20"/>
        </w:rPr>
        <w:drawing>
          <wp:inline distT="0" distB="0" distL="0" distR="0">
            <wp:extent cx="4973229" cy="3597783"/>
            <wp:effectExtent l="0" t="0" r="0" b="0"/>
            <wp:docPr id="7" name="Image 7"/>
            <wp:cNvGraphicFramePr>
              <a:graphicFrameLocks/>
            </wp:cNvGraphicFramePr>
            <a:graphic>
              <a:graphicData uri="http://schemas.openxmlformats.org/drawingml/2006/picture">
                <pic:pic>
                  <pic:nvPicPr>
                    <pic:cNvPr id="7" name="Image 7"/>
                    <pic:cNvPicPr/>
                  </pic:nvPicPr>
                  <pic:blipFill>
                    <a:blip r:embed="rId11" cstate="print"/>
                    <a:stretch>
                      <a:fillRect/>
                    </a:stretch>
                  </pic:blipFill>
                  <pic:spPr>
                    <a:xfrm>
                      <a:off x="0" y="0"/>
                      <a:ext cx="4973229" cy="3597783"/>
                    </a:xfrm>
                    <a:prstGeom prst="rect">
                      <a:avLst/>
                    </a:prstGeom>
                  </pic:spPr>
                </pic:pic>
              </a:graphicData>
            </a:graphic>
          </wp:inline>
        </w:drawing>
      </w:r>
      <w:r>
        <w:rPr>
          <w:sz w:val="20"/>
        </w:rPr>
      </w:r>
    </w:p>
    <w:p>
      <w:pPr>
        <w:pStyle w:val="BodyText"/>
        <w:spacing w:before="110"/>
        <w:rPr>
          <w:b/>
        </w:rPr>
      </w:pPr>
    </w:p>
    <w:p>
      <w:pPr>
        <w:spacing w:before="1"/>
        <w:ind w:left="665" w:right="0" w:firstLine="0"/>
        <w:jc w:val="left"/>
        <w:rPr>
          <w:b/>
          <w:sz w:val="22"/>
        </w:rPr>
      </w:pPr>
      <w:r>
        <w:rPr>
          <w:b/>
          <w:sz w:val="22"/>
        </w:rPr>
        <w:t>Fig.</w:t>
      </w:r>
      <w:r>
        <w:rPr>
          <w:b/>
          <w:spacing w:val="11"/>
          <w:sz w:val="22"/>
        </w:rPr>
        <w:t> </w:t>
      </w:r>
      <w:r>
        <w:rPr>
          <w:b/>
          <w:sz w:val="22"/>
        </w:rPr>
        <w:t>3.2</w:t>
      </w:r>
      <w:r>
        <w:rPr>
          <w:b/>
          <w:spacing w:val="19"/>
          <w:sz w:val="22"/>
        </w:rPr>
        <w:t> </w:t>
      </w:r>
      <w:r>
        <w:rPr>
          <w:b/>
          <w:sz w:val="22"/>
        </w:rPr>
        <w:t>Portable</w:t>
      </w:r>
      <w:r>
        <w:rPr>
          <w:b/>
          <w:spacing w:val="10"/>
          <w:sz w:val="22"/>
        </w:rPr>
        <w:t> </w:t>
      </w:r>
      <w:r>
        <w:rPr>
          <w:b/>
          <w:sz w:val="22"/>
        </w:rPr>
        <w:t>gasoline-powered</w:t>
      </w:r>
      <w:r>
        <w:rPr>
          <w:b/>
          <w:spacing w:val="16"/>
          <w:sz w:val="22"/>
        </w:rPr>
        <w:t> </w:t>
      </w:r>
      <w:r>
        <w:rPr>
          <w:b/>
          <w:sz w:val="22"/>
        </w:rPr>
        <w:t>generator,</w:t>
      </w:r>
      <w:r>
        <w:rPr>
          <w:b/>
          <w:spacing w:val="16"/>
          <w:sz w:val="22"/>
        </w:rPr>
        <w:t> </w:t>
      </w:r>
      <w:r>
        <w:rPr>
          <w:b/>
          <w:sz w:val="22"/>
        </w:rPr>
        <w:t>TIGER,</w:t>
      </w:r>
      <w:r>
        <w:rPr>
          <w:b/>
          <w:spacing w:val="17"/>
          <w:sz w:val="22"/>
        </w:rPr>
        <w:t> </w:t>
      </w:r>
      <w:r>
        <w:rPr>
          <w:b/>
          <w:spacing w:val="-2"/>
          <w:sz w:val="22"/>
        </w:rPr>
        <w:t>TG950.</w:t>
      </w:r>
    </w:p>
    <w:p>
      <w:pPr>
        <w:spacing w:after="0"/>
        <w:jc w:val="left"/>
        <w:rPr>
          <w:sz w:val="22"/>
        </w:rPr>
        <w:sectPr>
          <w:pgSz w:w="12240" w:h="15840"/>
          <w:pgMar w:header="0" w:footer="916" w:top="1320" w:bottom="1100" w:left="1720" w:right="960"/>
        </w:sectPr>
      </w:pPr>
    </w:p>
    <w:p>
      <w:pPr>
        <w:pStyle w:val="BodyText"/>
        <w:ind w:left="665"/>
        <w:rPr>
          <w:sz w:val="20"/>
        </w:rPr>
      </w:pPr>
      <w:r>
        <w:rPr>
          <w:sz w:val="20"/>
        </w:rPr>
        <w:drawing>
          <wp:inline distT="0" distB="0" distL="0" distR="0">
            <wp:extent cx="5092758" cy="3717988"/>
            <wp:effectExtent l="0" t="0" r="0" b="0"/>
            <wp:docPr id="8" name="Image 8"/>
            <wp:cNvGraphicFramePr>
              <a:graphicFrameLocks/>
            </wp:cNvGraphicFramePr>
            <a:graphic>
              <a:graphicData uri="http://schemas.openxmlformats.org/drawingml/2006/picture">
                <pic:pic>
                  <pic:nvPicPr>
                    <pic:cNvPr id="8" name="Image 8"/>
                    <pic:cNvPicPr/>
                  </pic:nvPicPr>
                  <pic:blipFill>
                    <a:blip r:embed="rId12" cstate="print"/>
                    <a:stretch>
                      <a:fillRect/>
                    </a:stretch>
                  </pic:blipFill>
                  <pic:spPr>
                    <a:xfrm>
                      <a:off x="0" y="0"/>
                      <a:ext cx="5092758" cy="3717988"/>
                    </a:xfrm>
                    <a:prstGeom prst="rect">
                      <a:avLst/>
                    </a:prstGeom>
                  </pic:spPr>
                </pic:pic>
              </a:graphicData>
            </a:graphic>
          </wp:inline>
        </w:drawing>
      </w:r>
      <w:r>
        <w:rPr>
          <w:sz w:val="20"/>
        </w:rPr>
      </w:r>
    </w:p>
    <w:p>
      <w:pPr>
        <w:pStyle w:val="BodyText"/>
        <w:spacing w:before="7"/>
        <w:rPr>
          <w:b/>
        </w:rPr>
      </w:pPr>
    </w:p>
    <w:p>
      <w:pPr>
        <w:spacing w:before="0"/>
        <w:ind w:left="665" w:right="0" w:firstLine="0"/>
        <w:jc w:val="left"/>
        <w:rPr>
          <w:b/>
          <w:sz w:val="22"/>
        </w:rPr>
      </w:pPr>
      <w:r>
        <w:rPr>
          <w:b/>
          <w:sz w:val="22"/>
        </w:rPr>
        <w:t>Fig.</w:t>
      </w:r>
      <w:r>
        <w:rPr>
          <w:b/>
          <w:spacing w:val="8"/>
          <w:sz w:val="22"/>
        </w:rPr>
        <w:t> </w:t>
      </w:r>
      <w:r>
        <w:rPr>
          <w:b/>
          <w:sz w:val="22"/>
        </w:rPr>
        <w:t>3.3</w:t>
      </w:r>
      <w:r>
        <w:rPr>
          <w:b/>
          <w:spacing w:val="16"/>
          <w:sz w:val="22"/>
        </w:rPr>
        <w:t> </w:t>
      </w:r>
      <w:r>
        <w:rPr>
          <w:b/>
          <w:sz w:val="22"/>
        </w:rPr>
        <w:t>Digital</w:t>
      </w:r>
      <w:r>
        <w:rPr>
          <w:b/>
          <w:spacing w:val="13"/>
          <w:sz w:val="22"/>
        </w:rPr>
        <w:t> </w:t>
      </w:r>
      <w:r>
        <w:rPr>
          <w:b/>
          <w:sz w:val="22"/>
        </w:rPr>
        <w:t>CO</w:t>
      </w:r>
      <w:r>
        <w:rPr>
          <w:b/>
          <w:spacing w:val="14"/>
          <w:sz w:val="22"/>
        </w:rPr>
        <w:t> </w:t>
      </w:r>
      <w:r>
        <w:rPr>
          <w:b/>
          <w:sz w:val="22"/>
        </w:rPr>
        <w:t>monitor,</w:t>
      </w:r>
      <w:r>
        <w:rPr>
          <w:b/>
          <w:spacing w:val="14"/>
          <w:sz w:val="22"/>
        </w:rPr>
        <w:t> </w:t>
      </w:r>
      <w:r>
        <w:rPr>
          <w:b/>
          <w:sz w:val="22"/>
        </w:rPr>
        <w:t>Amprobe</w:t>
      </w:r>
      <w:r>
        <w:rPr>
          <w:b/>
          <w:spacing w:val="8"/>
          <w:sz w:val="22"/>
        </w:rPr>
        <w:t> </w:t>
      </w:r>
      <w:r>
        <w:rPr>
          <w:b/>
          <w:spacing w:val="-2"/>
          <w:sz w:val="22"/>
        </w:rPr>
        <w:t>CM100.</w:t>
      </w:r>
    </w:p>
    <w:p>
      <w:pPr>
        <w:spacing w:after="0"/>
        <w:jc w:val="left"/>
        <w:rPr>
          <w:sz w:val="22"/>
        </w:rPr>
        <w:sectPr>
          <w:pgSz w:w="12240" w:h="15840"/>
          <w:pgMar w:header="0" w:footer="916" w:top="1320" w:bottom="1100" w:left="1720" w:right="960"/>
        </w:sectPr>
      </w:pPr>
    </w:p>
    <w:p>
      <w:pPr>
        <w:pStyle w:val="Heading2"/>
        <w:numPr>
          <w:ilvl w:val="1"/>
          <w:numId w:val="22"/>
        </w:numPr>
        <w:tabs>
          <w:tab w:pos="4253" w:val="left" w:leader="none"/>
        </w:tabs>
        <w:spacing w:line="240" w:lineRule="auto" w:before="80" w:after="0"/>
        <w:ind w:left="4253" w:right="0" w:hanging="338"/>
        <w:jc w:val="left"/>
      </w:pPr>
      <w:bookmarkStart w:name="_TOC_250024" w:id="33"/>
      <w:bookmarkEnd w:id="33"/>
      <w:r>
        <w:rPr>
          <w:spacing w:val="-2"/>
        </w:rPr>
        <w:t>METHODS</w:t>
      </w:r>
    </w:p>
    <w:p>
      <w:pPr>
        <w:pStyle w:val="BodyText"/>
        <w:rPr>
          <w:b/>
        </w:rPr>
      </w:pPr>
    </w:p>
    <w:p>
      <w:pPr>
        <w:pStyle w:val="BodyText"/>
        <w:rPr>
          <w:b/>
        </w:rPr>
      </w:pPr>
    </w:p>
    <w:p>
      <w:pPr>
        <w:pStyle w:val="BodyText"/>
        <w:spacing w:before="25"/>
        <w:rPr>
          <w:b/>
        </w:rPr>
      </w:pPr>
    </w:p>
    <w:p>
      <w:pPr>
        <w:pStyle w:val="Heading3"/>
        <w:numPr>
          <w:ilvl w:val="2"/>
          <w:numId w:val="22"/>
        </w:numPr>
        <w:tabs>
          <w:tab w:pos="1171" w:val="left" w:leader="none"/>
        </w:tabs>
        <w:spacing w:line="240" w:lineRule="auto" w:before="0" w:after="0"/>
        <w:ind w:left="1171" w:right="0" w:hanging="506"/>
        <w:jc w:val="left"/>
      </w:pPr>
      <w:bookmarkStart w:name="_TOC_250023" w:id="34"/>
      <w:bookmarkEnd w:id="34"/>
      <w:r>
        <w:rPr>
          <w:spacing w:val="-2"/>
        </w:rPr>
        <w:t>Animals</w:t>
      </w:r>
    </w:p>
    <w:p>
      <w:pPr>
        <w:pStyle w:val="BodyText"/>
        <w:spacing w:before="7"/>
        <w:rPr>
          <w:b/>
        </w:rPr>
      </w:pPr>
    </w:p>
    <w:p>
      <w:pPr>
        <w:pStyle w:val="BodyText"/>
        <w:spacing w:line="491" w:lineRule="auto"/>
        <w:ind w:left="665" w:right="896"/>
        <w:jc w:val="both"/>
      </w:pPr>
      <w:r>
        <w:rPr/>
        <w:t>Twenty</w:t>
      </w:r>
      <w:r>
        <w:rPr>
          <w:spacing w:val="40"/>
        </w:rPr>
        <w:t> </w:t>
      </w:r>
      <w:r>
        <w:rPr/>
        <w:t>five</w:t>
      </w:r>
      <w:r>
        <w:rPr>
          <w:spacing w:val="40"/>
        </w:rPr>
        <w:t> </w:t>
      </w:r>
      <w:r>
        <w:rPr/>
        <w:t>adult</w:t>
      </w:r>
      <w:r>
        <w:rPr>
          <w:spacing w:val="40"/>
        </w:rPr>
        <w:t> </w:t>
      </w:r>
      <w:r>
        <w:rPr/>
        <w:t>Swiss</w:t>
      </w:r>
      <w:r>
        <w:rPr>
          <w:spacing w:val="40"/>
        </w:rPr>
        <w:t> </w:t>
      </w:r>
      <w:r>
        <w:rPr/>
        <w:t>albino</w:t>
      </w:r>
      <w:r>
        <w:rPr>
          <w:spacing w:val="40"/>
        </w:rPr>
        <w:t> </w:t>
      </w:r>
      <w:r>
        <w:rPr/>
        <w:t>mice</w:t>
      </w:r>
      <w:r>
        <w:rPr>
          <w:spacing w:val="40"/>
        </w:rPr>
        <w:t> </w:t>
      </w:r>
      <w:r>
        <w:rPr/>
        <w:t>of both sexes were used</w:t>
      </w:r>
      <w:r>
        <w:rPr>
          <w:spacing w:val="40"/>
        </w:rPr>
        <w:t> </w:t>
      </w:r>
      <w:r>
        <w:rPr/>
        <w:t>in the</w:t>
      </w:r>
      <w:r>
        <w:rPr>
          <w:spacing w:val="40"/>
        </w:rPr>
        <w:t> </w:t>
      </w:r>
      <w:r>
        <w:rPr/>
        <w:t>study.</w:t>
      </w:r>
      <w:r>
        <w:rPr>
          <w:spacing w:val="80"/>
        </w:rPr>
        <w:t> </w:t>
      </w:r>
      <w:r>
        <w:rPr/>
        <w:t>They weighted between 18-32 g and were obtained from the animal house of Department of Pharmacology and Therapeutics of Ahmadu Bello University, Zaria. The animals were randomly divided</w:t>
      </w:r>
      <w:r>
        <w:rPr>
          <w:spacing w:val="40"/>
        </w:rPr>
        <w:t> </w:t>
      </w:r>
      <w:r>
        <w:rPr/>
        <w:t>into</w:t>
      </w:r>
      <w:r>
        <w:rPr>
          <w:spacing w:val="40"/>
        </w:rPr>
        <w:t> </w:t>
      </w:r>
      <w:r>
        <w:rPr/>
        <w:t>two</w:t>
      </w:r>
      <w:r>
        <w:rPr>
          <w:spacing w:val="34"/>
        </w:rPr>
        <w:t> </w:t>
      </w:r>
      <w:r>
        <w:rPr/>
        <w:t>major</w:t>
      </w:r>
      <w:r>
        <w:rPr>
          <w:spacing w:val="40"/>
        </w:rPr>
        <w:t> </w:t>
      </w:r>
      <w:r>
        <w:rPr/>
        <w:t>groups;</w:t>
      </w:r>
      <w:r>
        <w:rPr>
          <w:spacing w:val="36"/>
        </w:rPr>
        <w:t> </w:t>
      </w:r>
      <w:r>
        <w:rPr/>
        <w:t>each</w:t>
      </w:r>
      <w:r>
        <w:rPr>
          <w:spacing w:val="34"/>
        </w:rPr>
        <w:t> </w:t>
      </w:r>
      <w:r>
        <w:rPr/>
        <w:t>containing</w:t>
      </w:r>
      <w:r>
        <w:rPr>
          <w:spacing w:val="34"/>
        </w:rPr>
        <w:t> </w:t>
      </w:r>
      <w:r>
        <w:rPr/>
        <w:t>twelve</w:t>
      </w:r>
      <w:r>
        <w:rPr>
          <w:spacing w:val="37"/>
        </w:rPr>
        <w:t> </w:t>
      </w:r>
      <w:r>
        <w:rPr/>
        <w:t>mice</w:t>
      </w:r>
      <w:r>
        <w:rPr>
          <w:spacing w:val="37"/>
        </w:rPr>
        <w:t> </w:t>
      </w:r>
      <w:r>
        <w:rPr/>
        <w:t>for</w:t>
      </w:r>
      <w:r>
        <w:rPr>
          <w:spacing w:val="38"/>
        </w:rPr>
        <w:t> </w:t>
      </w:r>
      <w:r>
        <w:rPr/>
        <w:t>beam</w:t>
      </w:r>
      <w:r>
        <w:rPr>
          <w:spacing w:val="39"/>
        </w:rPr>
        <w:t> </w:t>
      </w:r>
      <w:r>
        <w:rPr/>
        <w:t>walk and elevated plus maze (EPM) respectively. Group I underwent Beam walk test, and</w:t>
      </w:r>
      <w:r>
        <w:rPr>
          <w:spacing w:val="40"/>
        </w:rPr>
        <w:t> </w:t>
      </w:r>
      <w:r>
        <w:rPr/>
        <w:t>group II-the</w:t>
      </w:r>
      <w:r>
        <w:rPr>
          <w:spacing w:val="26"/>
        </w:rPr>
        <w:t> </w:t>
      </w:r>
      <w:r>
        <w:rPr/>
        <w:t>EPM</w:t>
      </w:r>
      <w:r>
        <w:rPr>
          <w:spacing w:val="27"/>
        </w:rPr>
        <w:t> </w:t>
      </w:r>
      <w:r>
        <w:rPr/>
        <w:t>test.</w:t>
      </w:r>
      <w:r>
        <w:rPr>
          <w:spacing w:val="27"/>
        </w:rPr>
        <w:t> </w:t>
      </w:r>
      <w:r>
        <w:rPr/>
        <w:t>Each of the</w:t>
      </w:r>
      <w:r>
        <w:rPr>
          <w:spacing w:val="27"/>
        </w:rPr>
        <w:t> </w:t>
      </w:r>
      <w:r>
        <w:rPr/>
        <w:t>two</w:t>
      </w:r>
      <w:r>
        <w:rPr>
          <w:spacing w:val="28"/>
        </w:rPr>
        <w:t> </w:t>
      </w:r>
      <w:r>
        <w:rPr/>
        <w:t>groups (Group I &amp; II)</w:t>
      </w:r>
      <w:r>
        <w:rPr>
          <w:spacing w:val="27"/>
        </w:rPr>
        <w:t> </w:t>
      </w:r>
      <w:r>
        <w:rPr/>
        <w:t>was</w:t>
      </w:r>
      <w:r>
        <w:rPr>
          <w:spacing w:val="30"/>
        </w:rPr>
        <w:t> </w:t>
      </w:r>
      <w:r>
        <w:rPr/>
        <w:t>further</w:t>
      </w:r>
      <w:r>
        <w:rPr>
          <w:spacing w:val="27"/>
        </w:rPr>
        <w:t> </w:t>
      </w:r>
      <w:r>
        <w:rPr/>
        <w:t>divided</w:t>
      </w:r>
      <w:r>
        <w:rPr>
          <w:spacing w:val="28"/>
        </w:rPr>
        <w:t> </w:t>
      </w:r>
      <w:r>
        <w:rPr/>
        <w:t>into two sub-groups, the experimental and control groups. Female mice were tested without monitoring the oestrous cycle. Animals were maintained at room temperature, fed on standard feed and allowed access to tap water </w:t>
      </w:r>
      <w:r>
        <w:rPr>
          <w:i/>
        </w:rPr>
        <w:t>ad libitum</w:t>
      </w:r>
      <w:r>
        <w:rPr/>
        <w:t>. They were allowed to acclimatize with the environment for at least two weeks before commencement of the </w:t>
      </w:r>
      <w:r>
        <w:rPr>
          <w:spacing w:val="-2"/>
        </w:rPr>
        <w:t>study.</w:t>
      </w:r>
    </w:p>
    <w:p>
      <w:pPr>
        <w:pStyle w:val="BodyText"/>
      </w:pPr>
    </w:p>
    <w:p>
      <w:pPr>
        <w:pStyle w:val="BodyText"/>
        <w:spacing w:before="20"/>
      </w:pPr>
    </w:p>
    <w:p>
      <w:pPr>
        <w:pStyle w:val="ListParagraph"/>
        <w:numPr>
          <w:ilvl w:val="2"/>
          <w:numId w:val="22"/>
        </w:numPr>
        <w:tabs>
          <w:tab w:pos="1171" w:val="left" w:leader="none"/>
        </w:tabs>
        <w:spacing w:line="491" w:lineRule="auto" w:before="0" w:after="0"/>
        <w:ind w:left="665" w:right="896" w:firstLine="0"/>
        <w:jc w:val="left"/>
        <w:rPr>
          <w:sz w:val="22"/>
        </w:rPr>
      </w:pPr>
      <w:r>
        <w:rPr>
          <w:b/>
          <w:sz w:val="22"/>
        </w:rPr>
        <w:t>Exposure of animals to carbon monoxide from the generator exhaust</w:t>
      </w:r>
      <w:r>
        <w:rPr>
          <w:b/>
          <w:spacing w:val="36"/>
          <w:sz w:val="22"/>
        </w:rPr>
        <w:t> </w:t>
      </w:r>
      <w:r>
        <w:rPr>
          <w:b/>
          <w:sz w:val="22"/>
        </w:rPr>
        <w:t>fumes</w:t>
      </w:r>
      <w:r>
        <w:rPr>
          <w:b/>
          <w:spacing w:val="40"/>
          <w:sz w:val="22"/>
        </w:rPr>
        <w:t> </w:t>
      </w:r>
      <w:r>
        <w:rPr>
          <w:sz w:val="22"/>
        </w:rPr>
        <w:t>The</w:t>
      </w:r>
      <w:r>
        <w:rPr>
          <w:spacing w:val="20"/>
          <w:sz w:val="22"/>
        </w:rPr>
        <w:t> </w:t>
      </w:r>
      <w:r>
        <w:rPr>
          <w:sz w:val="22"/>
        </w:rPr>
        <w:t>cage</w:t>
      </w:r>
      <w:r>
        <w:rPr>
          <w:spacing w:val="22"/>
          <w:sz w:val="22"/>
        </w:rPr>
        <w:t> </w:t>
      </w:r>
      <w:r>
        <w:rPr>
          <w:sz w:val="22"/>
        </w:rPr>
        <w:t>was placed</w:t>
      </w:r>
      <w:r>
        <w:rPr>
          <w:spacing w:val="30"/>
          <w:sz w:val="22"/>
        </w:rPr>
        <w:t> </w:t>
      </w:r>
      <w:r>
        <w:rPr>
          <w:sz w:val="22"/>
        </w:rPr>
        <w:t>inside</w:t>
      </w:r>
      <w:r>
        <w:rPr>
          <w:spacing w:val="20"/>
          <w:sz w:val="22"/>
        </w:rPr>
        <w:t> </w:t>
      </w:r>
      <w:r>
        <w:rPr>
          <w:sz w:val="22"/>
        </w:rPr>
        <w:t>the</w:t>
      </w:r>
      <w:r>
        <w:rPr>
          <w:spacing w:val="26"/>
          <w:sz w:val="22"/>
        </w:rPr>
        <w:t> </w:t>
      </w:r>
      <w:r>
        <w:rPr>
          <w:sz w:val="22"/>
        </w:rPr>
        <w:t>gas chamber</w:t>
      </w:r>
      <w:r>
        <w:rPr>
          <w:spacing w:val="22"/>
          <w:sz w:val="22"/>
        </w:rPr>
        <w:t> </w:t>
      </w:r>
      <w:r>
        <w:rPr>
          <w:sz w:val="22"/>
        </w:rPr>
        <w:t>and</w:t>
      </w:r>
      <w:r>
        <w:rPr>
          <w:spacing w:val="30"/>
          <w:sz w:val="22"/>
        </w:rPr>
        <w:t> </w:t>
      </w:r>
      <w:r>
        <w:rPr>
          <w:sz w:val="22"/>
        </w:rPr>
        <w:t>the</w:t>
      </w:r>
      <w:r>
        <w:rPr>
          <w:spacing w:val="20"/>
          <w:sz w:val="22"/>
        </w:rPr>
        <w:t> </w:t>
      </w:r>
      <w:r>
        <w:rPr>
          <w:sz w:val="22"/>
        </w:rPr>
        <w:t>mice were</w:t>
      </w:r>
      <w:r>
        <w:rPr>
          <w:spacing w:val="26"/>
          <w:sz w:val="22"/>
        </w:rPr>
        <w:t> </w:t>
      </w:r>
      <w:r>
        <w:rPr>
          <w:sz w:val="22"/>
        </w:rPr>
        <w:t>exposed</w:t>
      </w:r>
      <w:r>
        <w:rPr>
          <w:spacing w:val="30"/>
          <w:sz w:val="22"/>
        </w:rPr>
        <w:t> </w:t>
      </w:r>
      <w:r>
        <w:rPr>
          <w:sz w:val="22"/>
        </w:rPr>
        <w:t>to</w:t>
      </w:r>
      <w:r>
        <w:rPr>
          <w:spacing w:val="28"/>
          <w:sz w:val="22"/>
        </w:rPr>
        <w:t> </w:t>
      </w:r>
      <w:r>
        <w:rPr>
          <w:sz w:val="22"/>
        </w:rPr>
        <w:t>the</w:t>
      </w:r>
      <w:r>
        <w:rPr>
          <w:spacing w:val="20"/>
          <w:sz w:val="22"/>
        </w:rPr>
        <w:t> </w:t>
      </w:r>
      <w:r>
        <w:rPr>
          <w:sz w:val="22"/>
        </w:rPr>
        <w:t>exhaust fumes</w:t>
      </w:r>
      <w:r>
        <w:rPr>
          <w:spacing w:val="40"/>
          <w:sz w:val="22"/>
        </w:rPr>
        <w:t> </w:t>
      </w:r>
      <w:r>
        <w:rPr>
          <w:sz w:val="22"/>
        </w:rPr>
        <w:t>of</w:t>
      </w:r>
      <w:r>
        <w:rPr>
          <w:spacing w:val="40"/>
          <w:sz w:val="22"/>
        </w:rPr>
        <w:t> </w:t>
      </w:r>
      <w:r>
        <w:rPr>
          <w:sz w:val="22"/>
        </w:rPr>
        <w:t>the</w:t>
      </w:r>
      <w:r>
        <w:rPr>
          <w:spacing w:val="40"/>
          <w:sz w:val="22"/>
        </w:rPr>
        <w:t> </w:t>
      </w:r>
      <w:r>
        <w:rPr>
          <w:sz w:val="22"/>
        </w:rPr>
        <w:t>gasoline-powered</w:t>
      </w:r>
      <w:r>
        <w:rPr>
          <w:spacing w:val="40"/>
          <w:sz w:val="22"/>
        </w:rPr>
        <w:t> </w:t>
      </w:r>
      <w:r>
        <w:rPr>
          <w:sz w:val="22"/>
        </w:rPr>
        <w:t>generator</w:t>
      </w:r>
      <w:r>
        <w:rPr>
          <w:spacing w:val="40"/>
          <w:sz w:val="22"/>
        </w:rPr>
        <w:t> </w:t>
      </w:r>
      <w:r>
        <w:rPr>
          <w:sz w:val="22"/>
        </w:rPr>
        <w:t>(TIGER,</w:t>
      </w:r>
      <w:r>
        <w:rPr>
          <w:spacing w:val="40"/>
          <w:sz w:val="22"/>
        </w:rPr>
        <w:t> </w:t>
      </w:r>
      <w:r>
        <w:rPr>
          <w:sz w:val="22"/>
        </w:rPr>
        <w:t>TG950,</w:t>
      </w:r>
      <w:r>
        <w:rPr>
          <w:spacing w:val="40"/>
          <w:sz w:val="22"/>
        </w:rPr>
        <w:t> </w:t>
      </w:r>
      <w:r>
        <w:rPr>
          <w:sz w:val="22"/>
        </w:rPr>
        <w:t>220v/240v).</w:t>
      </w:r>
      <w:r>
        <w:rPr>
          <w:spacing w:val="40"/>
          <w:sz w:val="22"/>
        </w:rPr>
        <w:t> </w:t>
      </w:r>
      <w:r>
        <w:rPr>
          <w:sz w:val="22"/>
        </w:rPr>
        <w:t>The</w:t>
      </w:r>
      <w:r>
        <w:rPr>
          <w:spacing w:val="40"/>
          <w:sz w:val="22"/>
        </w:rPr>
        <w:t> </w:t>
      </w:r>
      <w:r>
        <w:rPr>
          <w:sz w:val="22"/>
        </w:rPr>
        <w:t>exposure allowed</w:t>
      </w:r>
      <w:r>
        <w:rPr>
          <w:spacing w:val="30"/>
          <w:sz w:val="22"/>
        </w:rPr>
        <w:t> </w:t>
      </w:r>
      <w:r>
        <w:rPr>
          <w:sz w:val="22"/>
        </w:rPr>
        <w:t>partial</w:t>
      </w:r>
      <w:r>
        <w:rPr>
          <w:spacing w:val="27"/>
          <w:sz w:val="22"/>
        </w:rPr>
        <w:t> </w:t>
      </w:r>
      <w:r>
        <w:rPr>
          <w:sz w:val="22"/>
        </w:rPr>
        <w:t>ventilation</w:t>
      </w:r>
      <w:r>
        <w:rPr>
          <w:spacing w:val="18"/>
          <w:sz w:val="22"/>
        </w:rPr>
        <w:t> </w:t>
      </w:r>
      <w:r>
        <w:rPr>
          <w:sz w:val="22"/>
        </w:rPr>
        <w:t>to</w:t>
      </w:r>
      <w:r>
        <w:rPr>
          <w:spacing w:val="30"/>
          <w:sz w:val="22"/>
        </w:rPr>
        <w:t> </w:t>
      </w:r>
      <w:r>
        <w:rPr>
          <w:sz w:val="22"/>
        </w:rPr>
        <w:t>fresh</w:t>
      </w:r>
      <w:r>
        <w:rPr>
          <w:spacing w:val="18"/>
          <w:sz w:val="22"/>
        </w:rPr>
        <w:t> </w:t>
      </w:r>
      <w:r>
        <w:rPr>
          <w:sz w:val="22"/>
        </w:rPr>
        <w:t>air;</w:t>
      </w:r>
      <w:r>
        <w:rPr>
          <w:spacing w:val="27"/>
          <w:sz w:val="22"/>
        </w:rPr>
        <w:t> </w:t>
      </w:r>
      <w:r>
        <w:rPr>
          <w:sz w:val="22"/>
        </w:rPr>
        <w:t>similar</w:t>
      </w:r>
      <w:r>
        <w:rPr>
          <w:spacing w:val="29"/>
          <w:sz w:val="22"/>
        </w:rPr>
        <w:t> </w:t>
      </w:r>
      <w:r>
        <w:rPr>
          <w:sz w:val="22"/>
        </w:rPr>
        <w:t>to</w:t>
      </w:r>
      <w:r>
        <w:rPr>
          <w:spacing w:val="36"/>
          <w:sz w:val="22"/>
        </w:rPr>
        <w:t> </w:t>
      </w:r>
      <w:r>
        <w:rPr>
          <w:sz w:val="22"/>
        </w:rPr>
        <w:t>that</w:t>
      </w:r>
      <w:r>
        <w:rPr>
          <w:spacing w:val="27"/>
          <w:sz w:val="22"/>
        </w:rPr>
        <w:t> </w:t>
      </w:r>
      <w:r>
        <w:rPr>
          <w:sz w:val="22"/>
        </w:rPr>
        <w:t>adopted</w:t>
      </w:r>
      <w:r>
        <w:rPr>
          <w:spacing w:val="30"/>
          <w:sz w:val="22"/>
        </w:rPr>
        <w:t> </w:t>
      </w:r>
      <w:r>
        <w:rPr>
          <w:sz w:val="22"/>
        </w:rPr>
        <w:t>by Samuel</w:t>
      </w:r>
      <w:r>
        <w:rPr>
          <w:spacing w:val="23"/>
          <w:sz w:val="22"/>
        </w:rPr>
        <w:t> </w:t>
      </w:r>
      <w:r>
        <w:rPr>
          <w:i/>
          <w:sz w:val="22"/>
        </w:rPr>
        <w:t>et</w:t>
      </w:r>
      <w:r>
        <w:rPr>
          <w:i/>
          <w:spacing w:val="27"/>
          <w:sz w:val="22"/>
        </w:rPr>
        <w:t> </w:t>
      </w:r>
      <w:r>
        <w:rPr>
          <w:i/>
          <w:sz w:val="22"/>
        </w:rPr>
        <w:t>al</w:t>
      </w:r>
      <w:r>
        <w:rPr>
          <w:sz w:val="22"/>
        </w:rPr>
        <w:t>.</w:t>
      </w:r>
      <w:r>
        <w:rPr>
          <w:spacing w:val="29"/>
          <w:sz w:val="22"/>
        </w:rPr>
        <w:t> </w:t>
      </w:r>
      <w:r>
        <w:rPr>
          <w:sz w:val="22"/>
        </w:rPr>
        <w:t>(2007), in which human subjects were accidentally exposed to</w:t>
      </w:r>
      <w:r>
        <w:rPr>
          <w:spacing w:val="34"/>
          <w:sz w:val="22"/>
        </w:rPr>
        <w:t> </w:t>
      </w:r>
      <w:r>
        <w:rPr>
          <w:sz w:val="22"/>
        </w:rPr>
        <w:t>a gasoline-powered</w:t>
      </w:r>
      <w:r>
        <w:rPr>
          <w:spacing w:val="34"/>
          <w:sz w:val="22"/>
        </w:rPr>
        <w:t> </w:t>
      </w:r>
      <w:r>
        <w:rPr>
          <w:sz w:val="22"/>
        </w:rPr>
        <w:t>generator (5 kW,</w:t>
      </w:r>
      <w:r>
        <w:rPr>
          <w:spacing w:val="40"/>
          <w:sz w:val="22"/>
        </w:rPr>
        <w:t> </w:t>
      </w:r>
      <w:r>
        <w:rPr>
          <w:sz w:val="22"/>
        </w:rPr>
        <w:t>3000</w:t>
      </w:r>
      <w:r>
        <w:rPr>
          <w:spacing w:val="40"/>
          <w:sz w:val="22"/>
        </w:rPr>
        <w:t> </w:t>
      </w:r>
      <w:r>
        <w:rPr>
          <w:sz w:val="22"/>
        </w:rPr>
        <w:t>U/min)</w:t>
      </w:r>
      <w:r>
        <w:rPr>
          <w:spacing w:val="40"/>
          <w:sz w:val="22"/>
        </w:rPr>
        <w:t> </w:t>
      </w:r>
      <w:r>
        <w:rPr>
          <w:sz w:val="22"/>
        </w:rPr>
        <w:t>directly</w:t>
      </w:r>
      <w:r>
        <w:rPr>
          <w:spacing w:val="40"/>
          <w:sz w:val="22"/>
        </w:rPr>
        <w:t> </w:t>
      </w:r>
      <w:r>
        <w:rPr>
          <w:sz w:val="22"/>
        </w:rPr>
        <w:t>adjacent</w:t>
      </w:r>
      <w:r>
        <w:rPr>
          <w:spacing w:val="40"/>
          <w:sz w:val="22"/>
        </w:rPr>
        <w:t> </w:t>
      </w:r>
      <w:r>
        <w:rPr>
          <w:sz w:val="22"/>
        </w:rPr>
        <w:t>to</w:t>
      </w:r>
      <w:r>
        <w:rPr>
          <w:spacing w:val="40"/>
          <w:sz w:val="22"/>
        </w:rPr>
        <w:t> </w:t>
      </w:r>
      <w:r>
        <w:rPr>
          <w:sz w:val="22"/>
        </w:rPr>
        <w:t>a</w:t>
      </w:r>
      <w:r>
        <w:rPr>
          <w:spacing w:val="40"/>
          <w:sz w:val="22"/>
        </w:rPr>
        <w:t> </w:t>
      </w:r>
      <w:r>
        <w:rPr>
          <w:sz w:val="22"/>
        </w:rPr>
        <w:t>long</w:t>
      </w:r>
      <w:r>
        <w:rPr>
          <w:spacing w:val="40"/>
          <w:sz w:val="22"/>
        </w:rPr>
        <w:t> </w:t>
      </w:r>
      <w:r>
        <w:rPr>
          <w:sz w:val="22"/>
        </w:rPr>
        <w:t>stable</w:t>
      </w:r>
      <w:r>
        <w:rPr>
          <w:spacing w:val="40"/>
          <w:sz w:val="22"/>
        </w:rPr>
        <w:t> </w:t>
      </w:r>
      <w:r>
        <w:rPr>
          <w:sz w:val="22"/>
        </w:rPr>
        <w:t>where</w:t>
      </w:r>
      <w:r>
        <w:rPr>
          <w:spacing w:val="40"/>
          <w:sz w:val="22"/>
        </w:rPr>
        <w:t> </w:t>
      </w:r>
      <w:r>
        <w:rPr>
          <w:sz w:val="22"/>
        </w:rPr>
        <w:t>they</w:t>
      </w:r>
      <w:r>
        <w:rPr>
          <w:spacing w:val="40"/>
          <w:sz w:val="22"/>
        </w:rPr>
        <w:t> </w:t>
      </w:r>
      <w:r>
        <w:rPr>
          <w:sz w:val="22"/>
        </w:rPr>
        <w:t>were</w:t>
      </w:r>
      <w:r>
        <w:rPr>
          <w:spacing w:val="40"/>
          <w:sz w:val="22"/>
        </w:rPr>
        <w:t> </w:t>
      </w:r>
      <w:r>
        <w:rPr>
          <w:sz w:val="22"/>
        </w:rPr>
        <w:t>sleeping.</w:t>
      </w:r>
      <w:r>
        <w:rPr>
          <w:spacing w:val="40"/>
          <w:sz w:val="22"/>
        </w:rPr>
        <w:t> </w:t>
      </w:r>
      <w:r>
        <w:rPr>
          <w:sz w:val="22"/>
        </w:rPr>
        <w:t>The</w:t>
      </w:r>
      <w:r>
        <w:rPr>
          <w:spacing w:val="40"/>
          <w:sz w:val="22"/>
        </w:rPr>
        <w:t> </w:t>
      </w:r>
      <w:r>
        <w:rPr>
          <w:sz w:val="22"/>
        </w:rPr>
        <w:t>experimental groups were exposed to</w:t>
      </w:r>
      <w:r>
        <w:rPr>
          <w:spacing w:val="28"/>
          <w:sz w:val="22"/>
        </w:rPr>
        <w:t> </w:t>
      </w:r>
      <w:r>
        <w:rPr>
          <w:sz w:val="22"/>
        </w:rPr>
        <w:t>the generator exhaust fumes containing 100 - 150</w:t>
      </w:r>
      <w:r>
        <w:rPr>
          <w:spacing w:val="40"/>
          <w:sz w:val="22"/>
        </w:rPr>
        <w:t> </w:t>
      </w:r>
      <w:r>
        <w:rPr>
          <w:sz w:val="22"/>
        </w:rPr>
        <w:t>ppm</w:t>
      </w:r>
      <w:r>
        <w:rPr>
          <w:spacing w:val="23"/>
          <w:sz w:val="22"/>
        </w:rPr>
        <w:t> </w:t>
      </w:r>
      <w:r>
        <w:rPr>
          <w:sz w:val="22"/>
        </w:rPr>
        <w:t>of</w:t>
      </w:r>
      <w:r>
        <w:rPr>
          <w:spacing w:val="21"/>
          <w:sz w:val="22"/>
        </w:rPr>
        <w:t> </w:t>
      </w:r>
      <w:r>
        <w:rPr>
          <w:sz w:val="22"/>
        </w:rPr>
        <w:t>CO</w:t>
      </w:r>
      <w:r>
        <w:rPr>
          <w:spacing w:val="27"/>
          <w:sz w:val="22"/>
        </w:rPr>
        <w:t> </w:t>
      </w:r>
      <w:r>
        <w:rPr>
          <w:sz w:val="22"/>
        </w:rPr>
        <w:t>for</w:t>
      </w:r>
      <w:r>
        <w:rPr>
          <w:spacing w:val="27"/>
          <w:sz w:val="22"/>
        </w:rPr>
        <w:t> </w:t>
      </w:r>
      <w:r>
        <w:rPr>
          <w:sz w:val="22"/>
        </w:rPr>
        <w:t>30,</w:t>
      </w:r>
      <w:r>
        <w:rPr>
          <w:spacing w:val="21"/>
          <w:sz w:val="22"/>
        </w:rPr>
        <w:t> </w:t>
      </w:r>
      <w:r>
        <w:rPr>
          <w:sz w:val="22"/>
        </w:rPr>
        <w:t>60</w:t>
      </w:r>
      <w:r>
        <w:rPr>
          <w:spacing w:val="28"/>
          <w:sz w:val="22"/>
        </w:rPr>
        <w:t> </w:t>
      </w:r>
      <w:r>
        <w:rPr>
          <w:sz w:val="22"/>
        </w:rPr>
        <w:t>and</w:t>
      </w:r>
      <w:r>
        <w:rPr>
          <w:spacing w:val="34"/>
          <w:sz w:val="22"/>
        </w:rPr>
        <w:t> </w:t>
      </w:r>
      <w:r>
        <w:rPr>
          <w:sz w:val="22"/>
        </w:rPr>
        <w:t>120</w:t>
      </w:r>
      <w:r>
        <w:rPr>
          <w:spacing w:val="28"/>
          <w:sz w:val="22"/>
        </w:rPr>
        <w:t> </w:t>
      </w:r>
      <w:r>
        <w:rPr>
          <w:sz w:val="22"/>
        </w:rPr>
        <w:t>minutes</w:t>
      </w:r>
      <w:r>
        <w:rPr>
          <w:spacing w:val="24"/>
          <w:sz w:val="22"/>
        </w:rPr>
        <w:t> </w:t>
      </w:r>
      <w:r>
        <w:rPr>
          <w:sz w:val="22"/>
        </w:rPr>
        <w:t>before</w:t>
      </w:r>
      <w:r>
        <w:rPr>
          <w:spacing w:val="21"/>
          <w:sz w:val="22"/>
        </w:rPr>
        <w:t> </w:t>
      </w:r>
      <w:r>
        <w:rPr>
          <w:sz w:val="22"/>
        </w:rPr>
        <w:t>the</w:t>
      </w:r>
      <w:r>
        <w:rPr>
          <w:spacing w:val="29"/>
          <w:sz w:val="22"/>
        </w:rPr>
        <w:t> </w:t>
      </w:r>
      <w:r>
        <w:rPr>
          <w:sz w:val="22"/>
        </w:rPr>
        <w:t>tests,</w:t>
      </w:r>
      <w:r>
        <w:rPr>
          <w:spacing w:val="32"/>
          <w:sz w:val="22"/>
        </w:rPr>
        <w:t> </w:t>
      </w:r>
      <w:r>
        <w:rPr>
          <w:sz w:val="22"/>
        </w:rPr>
        <w:t>while</w:t>
      </w:r>
      <w:r>
        <w:rPr>
          <w:spacing w:val="26"/>
          <w:sz w:val="22"/>
        </w:rPr>
        <w:t> </w:t>
      </w:r>
      <w:r>
        <w:rPr>
          <w:sz w:val="22"/>
        </w:rPr>
        <w:t>the</w:t>
      </w:r>
      <w:r>
        <w:rPr>
          <w:spacing w:val="21"/>
          <w:sz w:val="22"/>
        </w:rPr>
        <w:t> </w:t>
      </w:r>
      <w:r>
        <w:rPr>
          <w:sz w:val="22"/>
        </w:rPr>
        <w:t>control</w:t>
      </w:r>
      <w:r>
        <w:rPr>
          <w:spacing w:val="25"/>
          <w:sz w:val="22"/>
        </w:rPr>
        <w:t> </w:t>
      </w:r>
      <w:r>
        <w:rPr>
          <w:sz w:val="22"/>
        </w:rPr>
        <w:t>groups</w:t>
      </w:r>
      <w:r>
        <w:rPr>
          <w:spacing w:val="24"/>
          <w:sz w:val="22"/>
        </w:rPr>
        <w:t> </w:t>
      </w:r>
      <w:r>
        <w:rPr>
          <w:sz w:val="22"/>
        </w:rPr>
        <w:t>were maintained</w:t>
      </w:r>
      <w:r>
        <w:rPr>
          <w:spacing w:val="76"/>
          <w:sz w:val="22"/>
        </w:rPr>
        <w:t> </w:t>
      </w:r>
      <w:r>
        <w:rPr>
          <w:sz w:val="22"/>
        </w:rPr>
        <w:t>on</w:t>
      </w:r>
      <w:r>
        <w:rPr>
          <w:spacing w:val="65"/>
          <w:sz w:val="22"/>
        </w:rPr>
        <w:t> </w:t>
      </w:r>
      <w:r>
        <w:rPr>
          <w:sz w:val="22"/>
        </w:rPr>
        <w:t>fresh</w:t>
      </w:r>
      <w:r>
        <w:rPr>
          <w:spacing w:val="66"/>
          <w:sz w:val="22"/>
        </w:rPr>
        <w:t> </w:t>
      </w:r>
      <w:r>
        <w:rPr>
          <w:sz w:val="22"/>
        </w:rPr>
        <w:t>air.</w:t>
      </w:r>
      <w:r>
        <w:rPr>
          <w:spacing w:val="75"/>
          <w:sz w:val="22"/>
        </w:rPr>
        <w:t> </w:t>
      </w:r>
      <w:r>
        <w:rPr>
          <w:sz w:val="22"/>
        </w:rPr>
        <w:t>The</w:t>
      </w:r>
      <w:r>
        <w:rPr>
          <w:spacing w:val="74"/>
          <w:sz w:val="22"/>
        </w:rPr>
        <w:t> </w:t>
      </w:r>
      <w:r>
        <w:rPr>
          <w:sz w:val="22"/>
        </w:rPr>
        <w:t>CO</w:t>
      </w:r>
      <w:r>
        <w:rPr>
          <w:spacing w:val="79"/>
          <w:sz w:val="22"/>
        </w:rPr>
        <w:t> </w:t>
      </w:r>
      <w:r>
        <w:rPr>
          <w:sz w:val="22"/>
        </w:rPr>
        <w:t>monitor</w:t>
      </w:r>
      <w:r>
        <w:rPr>
          <w:spacing w:val="75"/>
          <w:sz w:val="22"/>
        </w:rPr>
        <w:t> </w:t>
      </w:r>
      <w:r>
        <w:rPr>
          <w:sz w:val="22"/>
        </w:rPr>
        <w:t>had</w:t>
      </w:r>
      <w:r>
        <w:rPr>
          <w:spacing w:val="76"/>
          <w:sz w:val="22"/>
        </w:rPr>
        <w:t> </w:t>
      </w:r>
      <w:r>
        <w:rPr>
          <w:sz w:val="22"/>
        </w:rPr>
        <w:t>an</w:t>
      </w:r>
      <w:r>
        <w:rPr>
          <w:spacing w:val="71"/>
          <w:sz w:val="22"/>
        </w:rPr>
        <w:t> </w:t>
      </w:r>
      <w:r>
        <w:rPr>
          <w:sz w:val="22"/>
        </w:rPr>
        <w:t>inbuilt</w:t>
      </w:r>
      <w:r>
        <w:rPr>
          <w:spacing w:val="73"/>
          <w:sz w:val="22"/>
        </w:rPr>
        <w:t> </w:t>
      </w:r>
      <w:r>
        <w:rPr>
          <w:sz w:val="22"/>
        </w:rPr>
        <w:t>alarm</w:t>
      </w:r>
      <w:r>
        <w:rPr>
          <w:spacing w:val="71"/>
          <w:sz w:val="22"/>
        </w:rPr>
        <w:t> </w:t>
      </w:r>
      <w:r>
        <w:rPr>
          <w:sz w:val="22"/>
        </w:rPr>
        <w:t>system</w:t>
      </w:r>
      <w:r>
        <w:rPr>
          <w:spacing w:val="76"/>
          <w:sz w:val="22"/>
        </w:rPr>
        <w:t> </w:t>
      </w:r>
      <w:r>
        <w:rPr>
          <w:sz w:val="22"/>
        </w:rPr>
        <w:t>that</w:t>
      </w:r>
      <w:r>
        <w:rPr>
          <w:spacing w:val="73"/>
          <w:sz w:val="22"/>
        </w:rPr>
        <w:t> </w:t>
      </w:r>
      <w:r>
        <w:rPr>
          <w:sz w:val="22"/>
        </w:rPr>
        <w:t>made different noise depending on the CO concentration in air.</w:t>
      </w:r>
    </w:p>
    <w:p>
      <w:pPr>
        <w:spacing w:after="0" w:line="491" w:lineRule="auto"/>
        <w:jc w:val="left"/>
        <w:rPr>
          <w:sz w:val="22"/>
        </w:rPr>
        <w:sectPr>
          <w:pgSz w:w="12240" w:h="15840"/>
          <w:pgMar w:header="0" w:footer="916" w:top="1260" w:bottom="1100" w:left="1720" w:right="960"/>
        </w:sectPr>
      </w:pPr>
    </w:p>
    <w:p>
      <w:pPr>
        <w:pStyle w:val="Heading2"/>
        <w:numPr>
          <w:ilvl w:val="2"/>
          <w:numId w:val="22"/>
        </w:numPr>
        <w:tabs>
          <w:tab w:pos="1171" w:val="left" w:leader="none"/>
        </w:tabs>
        <w:spacing w:line="240" w:lineRule="auto" w:before="78" w:after="0"/>
        <w:ind w:left="1171" w:right="0" w:hanging="506"/>
        <w:jc w:val="left"/>
      </w:pPr>
      <w:r>
        <w:rPr/>
        <w:t>NEUROBEHAVIORAL</w:t>
      </w:r>
      <w:r>
        <w:rPr>
          <w:spacing w:val="39"/>
        </w:rPr>
        <w:t> </w:t>
      </w:r>
      <w:r>
        <w:rPr>
          <w:spacing w:val="-2"/>
        </w:rPr>
        <w:t>ASSESSMENTS</w:t>
      </w:r>
    </w:p>
    <w:p>
      <w:pPr>
        <w:pStyle w:val="BodyText"/>
        <w:rPr>
          <w:b/>
        </w:rPr>
      </w:pPr>
    </w:p>
    <w:p>
      <w:pPr>
        <w:pStyle w:val="BodyText"/>
        <w:rPr>
          <w:b/>
        </w:rPr>
      </w:pPr>
    </w:p>
    <w:p>
      <w:pPr>
        <w:pStyle w:val="BodyText"/>
        <w:spacing w:before="25"/>
        <w:rPr>
          <w:b/>
        </w:rPr>
      </w:pPr>
    </w:p>
    <w:p>
      <w:pPr>
        <w:pStyle w:val="Heading3"/>
        <w:numPr>
          <w:ilvl w:val="3"/>
          <w:numId w:val="22"/>
        </w:numPr>
        <w:tabs>
          <w:tab w:pos="1342" w:val="left" w:leader="none"/>
        </w:tabs>
        <w:spacing w:line="240" w:lineRule="auto" w:before="0" w:after="0"/>
        <w:ind w:left="1342" w:right="0" w:hanging="677"/>
        <w:jc w:val="left"/>
      </w:pPr>
      <w:r>
        <w:rPr/>
        <w:t>Assessment</w:t>
      </w:r>
      <w:r>
        <w:rPr>
          <w:spacing w:val="15"/>
        </w:rPr>
        <w:t> </w:t>
      </w:r>
      <w:r>
        <w:rPr/>
        <w:t>of</w:t>
      </w:r>
      <w:r>
        <w:rPr>
          <w:spacing w:val="15"/>
        </w:rPr>
        <w:t> </w:t>
      </w:r>
      <w:r>
        <w:rPr/>
        <w:t>motor</w:t>
      </w:r>
      <w:r>
        <w:rPr>
          <w:spacing w:val="15"/>
        </w:rPr>
        <w:t> </w:t>
      </w:r>
      <w:r>
        <w:rPr/>
        <w:t>coordination</w:t>
      </w:r>
      <w:r>
        <w:rPr>
          <w:spacing w:val="13"/>
        </w:rPr>
        <w:t> </w:t>
      </w:r>
      <w:r>
        <w:rPr/>
        <w:t>using</w:t>
      </w:r>
      <w:r>
        <w:rPr>
          <w:spacing w:val="4"/>
        </w:rPr>
        <w:t> </w:t>
      </w:r>
      <w:r>
        <w:rPr/>
        <w:t>beam</w:t>
      </w:r>
      <w:r>
        <w:rPr>
          <w:spacing w:val="7"/>
        </w:rPr>
        <w:t> </w:t>
      </w:r>
      <w:r>
        <w:rPr/>
        <w:t>walk</w:t>
      </w:r>
      <w:r>
        <w:rPr>
          <w:spacing w:val="19"/>
        </w:rPr>
        <w:t> </w:t>
      </w:r>
      <w:r>
        <w:rPr>
          <w:spacing w:val="-4"/>
        </w:rPr>
        <w:t>test</w:t>
      </w:r>
    </w:p>
    <w:p>
      <w:pPr>
        <w:pStyle w:val="BodyText"/>
        <w:spacing w:before="8"/>
        <w:rPr>
          <w:b/>
        </w:rPr>
      </w:pPr>
    </w:p>
    <w:p>
      <w:pPr>
        <w:pStyle w:val="BodyText"/>
        <w:spacing w:line="491" w:lineRule="auto"/>
        <w:ind w:left="665" w:right="898"/>
        <w:jc w:val="both"/>
      </w:pPr>
      <w:r>
        <w:rPr/>
        <w:t>In the beam-walk test (also known as the raised-beam or raised-bridge test), mice were trained to traverse an elevated, narrow ruler beam to reach an enclosed escape goal box. The protocol described here measures foot-slips and latency to traverse the beam,</w:t>
      </w:r>
      <w:r>
        <w:rPr>
          <w:spacing w:val="80"/>
        </w:rPr>
        <w:t> </w:t>
      </w:r>
      <w:r>
        <w:rPr/>
        <w:t>although a number of other parameters of motor coordination and balance can also be measured. The protocol described</w:t>
      </w:r>
      <w:r>
        <w:rPr>
          <w:spacing w:val="37"/>
        </w:rPr>
        <w:t> </w:t>
      </w:r>
      <w:r>
        <w:rPr/>
        <w:t>here is for testing on mice (Stanley, 2005).</w:t>
      </w:r>
    </w:p>
    <w:p>
      <w:pPr>
        <w:pStyle w:val="BodyText"/>
      </w:pPr>
    </w:p>
    <w:p>
      <w:pPr>
        <w:pStyle w:val="BodyText"/>
        <w:spacing w:before="16"/>
      </w:pPr>
    </w:p>
    <w:p>
      <w:pPr>
        <w:pStyle w:val="BodyText"/>
        <w:spacing w:line="491" w:lineRule="auto"/>
        <w:ind w:left="665" w:right="899"/>
        <w:jc w:val="both"/>
      </w:pPr>
      <w:r>
        <w:rPr/>
        <w:t>The materials used were methylated spirit, cotton wool, and the beam walk apparatus which</w:t>
      </w:r>
      <w:r>
        <w:rPr>
          <w:spacing w:val="38"/>
        </w:rPr>
        <w:t> </w:t>
      </w:r>
      <w:r>
        <w:rPr/>
        <w:t>was</w:t>
      </w:r>
      <w:r>
        <w:rPr>
          <w:spacing w:val="39"/>
        </w:rPr>
        <w:t> </w:t>
      </w:r>
      <w:r>
        <w:rPr/>
        <w:t>made</w:t>
      </w:r>
      <w:r>
        <w:rPr>
          <w:spacing w:val="30"/>
        </w:rPr>
        <w:t> </w:t>
      </w:r>
      <w:r>
        <w:rPr/>
        <w:t>up</w:t>
      </w:r>
      <w:r>
        <w:rPr>
          <w:spacing w:val="36"/>
        </w:rPr>
        <w:t> </w:t>
      </w:r>
      <w:r>
        <w:rPr/>
        <w:t>of</w:t>
      </w:r>
      <w:r>
        <w:rPr>
          <w:spacing w:val="31"/>
        </w:rPr>
        <w:t> </w:t>
      </w:r>
      <w:r>
        <w:rPr/>
        <w:t>75</w:t>
      </w:r>
      <w:r>
        <w:rPr>
          <w:spacing w:val="40"/>
        </w:rPr>
        <w:t> </w:t>
      </w:r>
      <w:r>
        <w:rPr/>
        <w:t>cm</w:t>
      </w:r>
      <w:r>
        <w:rPr>
          <w:spacing w:val="36"/>
        </w:rPr>
        <w:t> </w:t>
      </w:r>
      <w:r>
        <w:rPr/>
        <w:t>strips</w:t>
      </w:r>
      <w:r>
        <w:rPr>
          <w:spacing w:val="34"/>
        </w:rPr>
        <w:t> </w:t>
      </w:r>
      <w:r>
        <w:rPr/>
        <w:t>of</w:t>
      </w:r>
      <w:r>
        <w:rPr>
          <w:spacing w:val="31"/>
        </w:rPr>
        <w:t> </w:t>
      </w:r>
      <w:r>
        <w:rPr/>
        <w:t>two</w:t>
      </w:r>
      <w:r>
        <w:rPr>
          <w:spacing w:val="36"/>
        </w:rPr>
        <w:t> </w:t>
      </w:r>
      <w:r>
        <w:rPr/>
        <w:t>smooth</w:t>
      </w:r>
      <w:r>
        <w:rPr>
          <w:spacing w:val="26"/>
        </w:rPr>
        <w:t> </w:t>
      </w:r>
      <w:r>
        <w:rPr/>
        <w:t>woods.</w:t>
      </w:r>
      <w:r>
        <w:rPr>
          <w:spacing w:val="35"/>
        </w:rPr>
        <w:t> </w:t>
      </w:r>
      <w:r>
        <w:rPr/>
        <w:t>One</w:t>
      </w:r>
      <w:r>
        <w:rPr>
          <w:spacing w:val="31"/>
        </w:rPr>
        <w:t> </w:t>
      </w:r>
      <w:r>
        <w:rPr/>
        <w:t>beam</w:t>
      </w:r>
      <w:r>
        <w:rPr>
          <w:spacing w:val="38"/>
        </w:rPr>
        <w:t> </w:t>
      </w:r>
      <w:r>
        <w:rPr/>
        <w:t>was</w:t>
      </w:r>
      <w:r>
        <w:rPr>
          <w:spacing w:val="39"/>
        </w:rPr>
        <w:t> </w:t>
      </w:r>
      <w:r>
        <w:rPr/>
        <w:t>flat</w:t>
      </w:r>
      <w:r>
        <w:rPr>
          <w:spacing w:val="40"/>
        </w:rPr>
        <w:t> </w:t>
      </w:r>
      <w:r>
        <w:rPr/>
        <w:t>like</w:t>
      </w:r>
      <w:r>
        <w:rPr>
          <w:spacing w:val="30"/>
        </w:rPr>
        <w:t> </w:t>
      </w:r>
      <w:r>
        <w:rPr/>
        <w:t>a ruler</w:t>
      </w:r>
      <w:r>
        <w:rPr>
          <w:spacing w:val="21"/>
        </w:rPr>
        <w:t> </w:t>
      </w:r>
      <w:r>
        <w:rPr/>
        <w:t>of</w:t>
      </w:r>
      <w:r>
        <w:rPr>
          <w:spacing w:val="21"/>
        </w:rPr>
        <w:t> </w:t>
      </w:r>
      <w:r>
        <w:rPr/>
        <w:t>25</w:t>
      </w:r>
      <w:r>
        <w:rPr>
          <w:spacing w:val="27"/>
        </w:rPr>
        <w:t> </w:t>
      </w:r>
      <w:r>
        <w:rPr/>
        <w:t>mm</w:t>
      </w:r>
      <w:r>
        <w:rPr>
          <w:spacing w:val="27"/>
        </w:rPr>
        <w:t> </w:t>
      </w:r>
      <w:r>
        <w:rPr/>
        <w:t>width</w:t>
      </w:r>
      <w:r>
        <w:rPr>
          <w:spacing w:val="22"/>
        </w:rPr>
        <w:t> </w:t>
      </w:r>
      <w:r>
        <w:rPr/>
        <w:t>by 10</w:t>
      </w:r>
      <w:r>
        <w:rPr>
          <w:spacing w:val="33"/>
        </w:rPr>
        <w:t> </w:t>
      </w:r>
      <w:r>
        <w:rPr/>
        <w:t>mm</w:t>
      </w:r>
      <w:r>
        <w:rPr>
          <w:spacing w:val="27"/>
        </w:rPr>
        <w:t> </w:t>
      </w:r>
      <w:r>
        <w:rPr/>
        <w:t>thickness.</w:t>
      </w:r>
      <w:r>
        <w:rPr>
          <w:spacing w:val="25"/>
        </w:rPr>
        <w:t> </w:t>
      </w:r>
      <w:r>
        <w:rPr/>
        <w:t>The</w:t>
      </w:r>
      <w:r>
        <w:rPr>
          <w:spacing w:val="25"/>
        </w:rPr>
        <w:t> </w:t>
      </w:r>
      <w:r>
        <w:rPr/>
        <w:t>other</w:t>
      </w:r>
      <w:r>
        <w:rPr>
          <w:spacing w:val="26"/>
        </w:rPr>
        <w:t> </w:t>
      </w:r>
      <w:r>
        <w:rPr/>
        <w:t>strip</w:t>
      </w:r>
      <w:r>
        <w:rPr>
          <w:spacing w:val="27"/>
        </w:rPr>
        <w:t> </w:t>
      </w:r>
      <w:r>
        <w:rPr/>
        <w:t>is</w:t>
      </w:r>
      <w:r>
        <w:rPr>
          <w:spacing w:val="17"/>
        </w:rPr>
        <w:t> </w:t>
      </w:r>
      <w:r>
        <w:rPr/>
        <w:t>round</w:t>
      </w:r>
      <w:r>
        <w:rPr>
          <w:spacing w:val="27"/>
        </w:rPr>
        <w:t> </w:t>
      </w:r>
      <w:r>
        <w:rPr/>
        <w:t>with</w:t>
      </w:r>
      <w:r>
        <w:rPr>
          <w:spacing w:val="16"/>
        </w:rPr>
        <w:t> </w:t>
      </w:r>
      <w:r>
        <w:rPr/>
        <w:t>a</w:t>
      </w:r>
      <w:r>
        <w:rPr>
          <w:spacing w:val="25"/>
        </w:rPr>
        <w:t> </w:t>
      </w:r>
      <w:r>
        <w:rPr/>
        <w:t>diameter</w:t>
      </w:r>
      <w:r>
        <w:rPr>
          <w:spacing w:val="26"/>
        </w:rPr>
        <w:t> </w:t>
      </w:r>
      <w:r>
        <w:rPr/>
        <w:t>of 20</w:t>
      </w:r>
      <w:r>
        <w:rPr>
          <w:spacing w:val="40"/>
        </w:rPr>
        <w:t> </w:t>
      </w:r>
      <w:r>
        <w:rPr/>
        <w:t>mm.</w:t>
      </w:r>
      <w:r>
        <w:rPr>
          <w:spacing w:val="40"/>
        </w:rPr>
        <w:t> </w:t>
      </w:r>
      <w:r>
        <w:rPr/>
        <w:t>Narrow</w:t>
      </w:r>
      <w:r>
        <w:rPr>
          <w:spacing w:val="40"/>
        </w:rPr>
        <w:t> </w:t>
      </w:r>
      <w:r>
        <w:rPr/>
        <w:t>support</w:t>
      </w:r>
      <w:r>
        <w:rPr>
          <w:spacing w:val="40"/>
        </w:rPr>
        <w:t> </w:t>
      </w:r>
      <w:r>
        <w:rPr/>
        <w:t>stands</w:t>
      </w:r>
      <w:r>
        <w:rPr>
          <w:spacing w:val="40"/>
        </w:rPr>
        <w:t> </w:t>
      </w:r>
      <w:r>
        <w:rPr/>
        <w:t>to</w:t>
      </w:r>
      <w:r>
        <w:rPr>
          <w:spacing w:val="40"/>
        </w:rPr>
        <w:t> </w:t>
      </w:r>
      <w:r>
        <w:rPr/>
        <w:t>hold</w:t>
      </w:r>
      <w:r>
        <w:rPr>
          <w:spacing w:val="40"/>
        </w:rPr>
        <w:t> </w:t>
      </w:r>
      <w:r>
        <w:rPr/>
        <w:t>up</w:t>
      </w:r>
      <w:r>
        <w:rPr>
          <w:spacing w:val="40"/>
        </w:rPr>
        <w:t> </w:t>
      </w:r>
      <w:r>
        <w:rPr/>
        <w:t>the</w:t>
      </w:r>
      <w:r>
        <w:rPr>
          <w:spacing w:val="40"/>
        </w:rPr>
        <w:t> </w:t>
      </w:r>
      <w:r>
        <w:rPr/>
        <w:t>start</w:t>
      </w:r>
      <w:r>
        <w:rPr>
          <w:spacing w:val="40"/>
        </w:rPr>
        <w:t> </w:t>
      </w:r>
      <w:r>
        <w:rPr/>
        <w:t>part</w:t>
      </w:r>
      <w:r>
        <w:rPr>
          <w:spacing w:val="37"/>
        </w:rPr>
        <w:t> </w:t>
      </w:r>
      <w:r>
        <w:rPr/>
        <w:t>of</w:t>
      </w:r>
      <w:r>
        <w:rPr>
          <w:spacing w:val="39"/>
        </w:rPr>
        <w:t> </w:t>
      </w:r>
      <w:r>
        <w:rPr/>
        <w:t>the</w:t>
      </w:r>
      <w:r>
        <w:rPr>
          <w:spacing w:val="40"/>
        </w:rPr>
        <w:t> </w:t>
      </w:r>
      <w:r>
        <w:rPr/>
        <w:t>raised</w:t>
      </w:r>
      <w:r>
        <w:rPr>
          <w:spacing w:val="40"/>
        </w:rPr>
        <w:t> </w:t>
      </w:r>
      <w:r>
        <w:rPr/>
        <w:t>beam</w:t>
      </w:r>
      <w:r>
        <w:rPr>
          <w:spacing w:val="40"/>
        </w:rPr>
        <w:t> </w:t>
      </w:r>
      <w:r>
        <w:rPr/>
        <w:t>(15</w:t>
      </w:r>
      <w:r>
        <w:rPr>
          <w:spacing w:val="40"/>
        </w:rPr>
        <w:t> </w:t>
      </w:r>
      <w:r>
        <w:rPr/>
        <w:t>mm cross-section, 40</w:t>
      </w:r>
      <w:r>
        <w:rPr>
          <w:spacing w:val="23"/>
        </w:rPr>
        <w:t> </w:t>
      </w:r>
      <w:r>
        <w:rPr/>
        <w:t>cm high)</w:t>
      </w:r>
      <w:r>
        <w:rPr>
          <w:spacing w:val="21"/>
        </w:rPr>
        <w:t> </w:t>
      </w:r>
      <w:r>
        <w:rPr/>
        <w:t>was</w:t>
      </w:r>
      <w:r>
        <w:rPr>
          <w:spacing w:val="18"/>
        </w:rPr>
        <w:t> </w:t>
      </w:r>
      <w:r>
        <w:rPr/>
        <w:t>also</w:t>
      </w:r>
      <w:r>
        <w:rPr>
          <w:spacing w:val="17"/>
        </w:rPr>
        <w:t> </w:t>
      </w:r>
      <w:r>
        <w:rPr/>
        <w:t>used, together</w:t>
      </w:r>
      <w:r>
        <w:rPr>
          <w:spacing w:val="21"/>
        </w:rPr>
        <w:t> </w:t>
      </w:r>
      <w:r>
        <w:rPr/>
        <w:t>with</w:t>
      </w:r>
      <w:r>
        <w:rPr>
          <w:spacing w:val="18"/>
        </w:rPr>
        <w:t> </w:t>
      </w:r>
      <w:r>
        <w:rPr/>
        <w:t>the Goal box (30</w:t>
      </w:r>
      <w:r>
        <w:rPr>
          <w:spacing w:val="23"/>
        </w:rPr>
        <w:t> </w:t>
      </w:r>
      <w:r>
        <w:rPr/>
        <w:t>cm</w:t>
      </w:r>
      <w:r>
        <w:rPr>
          <w:spacing w:val="17"/>
        </w:rPr>
        <w:t> </w:t>
      </w:r>
      <w:r>
        <w:rPr/>
        <w:t>x 20</w:t>
      </w:r>
      <w:r>
        <w:rPr>
          <w:spacing w:val="23"/>
        </w:rPr>
        <w:t> </w:t>
      </w:r>
      <w:r>
        <w:rPr/>
        <w:t>cm x 25 cm with a 5</w:t>
      </w:r>
      <w:r>
        <w:rPr>
          <w:spacing w:val="30"/>
        </w:rPr>
        <w:t> </w:t>
      </w:r>
      <w:r>
        <w:rPr/>
        <w:t>x 6</w:t>
      </w:r>
      <w:r>
        <w:rPr>
          <w:spacing w:val="27"/>
        </w:rPr>
        <w:t> </w:t>
      </w:r>
      <w:r>
        <w:rPr/>
        <w:t>cm entrance</w:t>
      </w:r>
      <w:r>
        <w:rPr>
          <w:spacing w:val="26"/>
        </w:rPr>
        <w:t> </w:t>
      </w:r>
      <w:r>
        <w:rPr/>
        <w:t>hole), secured on top of a support.</w:t>
      </w:r>
    </w:p>
    <w:p>
      <w:pPr>
        <w:pStyle w:val="BodyText"/>
      </w:pPr>
    </w:p>
    <w:p>
      <w:pPr>
        <w:pStyle w:val="BodyText"/>
        <w:spacing w:before="11"/>
      </w:pPr>
    </w:p>
    <w:p>
      <w:pPr>
        <w:pStyle w:val="BodyText"/>
        <w:spacing w:line="491" w:lineRule="auto"/>
        <w:ind w:left="665" w:right="898"/>
        <w:jc w:val="both"/>
      </w:pPr>
      <w:r>
        <w:rPr/>
        <w:t>The latency</w:t>
      </w:r>
      <w:r>
        <w:rPr>
          <w:spacing w:val="-2"/>
        </w:rPr>
        <w:t> </w:t>
      </w:r>
      <w:r>
        <w:rPr/>
        <w:t>and foot-slip measurements were taken as the mouse traverse the beam. The starting point</w:t>
      </w:r>
      <w:r>
        <w:rPr>
          <w:spacing w:val="40"/>
        </w:rPr>
        <w:t> </w:t>
      </w:r>
      <w:r>
        <w:rPr/>
        <w:t>of the beam</w:t>
      </w:r>
      <w:r>
        <w:rPr>
          <w:spacing w:val="40"/>
        </w:rPr>
        <w:t> </w:t>
      </w:r>
      <w:r>
        <w:rPr/>
        <w:t>was mounted on the narrow</w:t>
      </w:r>
      <w:r>
        <w:rPr>
          <w:spacing w:val="40"/>
        </w:rPr>
        <w:t> </w:t>
      </w:r>
      <w:r>
        <w:rPr/>
        <w:t>support stand</w:t>
      </w:r>
      <w:r>
        <w:rPr>
          <w:spacing w:val="40"/>
        </w:rPr>
        <w:t> </w:t>
      </w:r>
      <w:r>
        <w:rPr/>
        <w:t>on a stable laboratory bench in the neurobehaviour room and a goal box was attached</w:t>
      </w:r>
      <w:r>
        <w:rPr>
          <w:spacing w:val="35"/>
        </w:rPr>
        <w:t> </w:t>
      </w:r>
      <w:r>
        <w:rPr/>
        <w:t>to</w:t>
      </w:r>
      <w:r>
        <w:rPr>
          <w:spacing w:val="35"/>
        </w:rPr>
        <w:t> </w:t>
      </w:r>
      <w:r>
        <w:rPr/>
        <w:t>the other end.</w:t>
      </w:r>
      <w:r>
        <w:rPr>
          <w:spacing w:val="18"/>
        </w:rPr>
        <w:t> </w:t>
      </w:r>
      <w:r>
        <w:rPr/>
        <w:t>A 30W</w:t>
      </w:r>
      <w:r>
        <w:rPr>
          <w:spacing w:val="19"/>
        </w:rPr>
        <w:t> </w:t>
      </w:r>
      <w:r>
        <w:rPr/>
        <w:t>lamp</w:t>
      </w:r>
      <w:r>
        <w:rPr>
          <w:spacing w:val="24"/>
        </w:rPr>
        <w:t> </w:t>
      </w:r>
      <w:r>
        <w:rPr/>
        <w:t>was also</w:t>
      </w:r>
      <w:r>
        <w:rPr>
          <w:spacing w:val="24"/>
        </w:rPr>
        <w:t> </w:t>
      </w:r>
      <w:r>
        <w:rPr/>
        <w:t>hanged</w:t>
      </w:r>
      <w:r>
        <w:rPr>
          <w:spacing w:val="24"/>
        </w:rPr>
        <w:t> </w:t>
      </w:r>
      <w:r>
        <w:rPr/>
        <w:t>by the ceiling to</w:t>
      </w:r>
      <w:r>
        <w:rPr>
          <w:spacing w:val="18"/>
        </w:rPr>
        <w:t> </w:t>
      </w:r>
      <w:r>
        <w:rPr/>
        <w:t>provide lightening and</w:t>
      </w:r>
      <w:r>
        <w:rPr>
          <w:spacing w:val="18"/>
        </w:rPr>
        <w:t> </w:t>
      </w:r>
      <w:r>
        <w:rPr/>
        <w:t>also</w:t>
      </w:r>
      <w:r>
        <w:rPr>
          <w:spacing w:val="24"/>
        </w:rPr>
        <w:t> </w:t>
      </w:r>
      <w:r>
        <w:rPr/>
        <w:t>created an aversive stimulus (bright light) to encourage mice to traverse the beam to the dark enclosed goal box.</w:t>
      </w:r>
    </w:p>
    <w:p>
      <w:pPr>
        <w:spacing w:after="0" w:line="491" w:lineRule="auto"/>
        <w:jc w:val="both"/>
        <w:sectPr>
          <w:pgSz w:w="12240" w:h="15840"/>
          <w:pgMar w:header="0" w:footer="916" w:top="1780" w:bottom="1100" w:left="1720" w:right="960"/>
        </w:sectPr>
      </w:pPr>
    </w:p>
    <w:p>
      <w:pPr>
        <w:pStyle w:val="BodyText"/>
        <w:spacing w:line="491" w:lineRule="auto" w:before="75"/>
        <w:ind w:left="665" w:right="895"/>
        <w:jc w:val="both"/>
      </w:pPr>
      <w:r>
        <w:rPr/>
        <w:t>The animals in their home cages were transferred, from the animal house to the neurobehaviour</w:t>
      </w:r>
      <w:r>
        <w:rPr>
          <w:spacing w:val="33"/>
        </w:rPr>
        <w:t> </w:t>
      </w:r>
      <w:r>
        <w:rPr/>
        <w:t>laboratory.</w:t>
      </w:r>
      <w:r>
        <w:rPr>
          <w:spacing w:val="38"/>
        </w:rPr>
        <w:t> </w:t>
      </w:r>
      <w:r>
        <w:rPr/>
        <w:t>They</w:t>
      </w:r>
      <w:r>
        <w:rPr>
          <w:spacing w:val="23"/>
        </w:rPr>
        <w:t> </w:t>
      </w:r>
      <w:r>
        <w:rPr/>
        <w:t>were</w:t>
      </w:r>
      <w:r>
        <w:rPr>
          <w:spacing w:val="32"/>
        </w:rPr>
        <w:t> </w:t>
      </w:r>
      <w:r>
        <w:rPr/>
        <w:t>allowed</w:t>
      </w:r>
      <w:r>
        <w:rPr>
          <w:spacing w:val="40"/>
        </w:rPr>
        <w:t> </w:t>
      </w:r>
      <w:r>
        <w:rPr/>
        <w:t>to</w:t>
      </w:r>
      <w:r>
        <w:rPr>
          <w:spacing w:val="34"/>
        </w:rPr>
        <w:t> </w:t>
      </w:r>
      <w:r>
        <w:rPr/>
        <w:t>habituate</w:t>
      </w:r>
      <w:r>
        <w:rPr>
          <w:spacing w:val="32"/>
        </w:rPr>
        <w:t> </w:t>
      </w:r>
      <w:r>
        <w:rPr/>
        <w:t>to</w:t>
      </w:r>
      <w:r>
        <w:rPr>
          <w:spacing w:val="34"/>
        </w:rPr>
        <w:t> </w:t>
      </w:r>
      <w:r>
        <w:rPr/>
        <w:t>the</w:t>
      </w:r>
      <w:r>
        <w:rPr>
          <w:spacing w:val="32"/>
        </w:rPr>
        <w:t> </w:t>
      </w:r>
      <w:r>
        <w:rPr/>
        <w:t>laboratory</w:t>
      </w:r>
      <w:r>
        <w:rPr>
          <w:spacing w:val="23"/>
        </w:rPr>
        <w:t> </w:t>
      </w:r>
      <w:r>
        <w:rPr/>
        <w:t>for</w:t>
      </w:r>
      <w:r>
        <w:rPr>
          <w:spacing w:val="39"/>
        </w:rPr>
        <w:t> </w:t>
      </w:r>
      <w:r>
        <w:rPr/>
        <w:t>about 15 minutes. A trial session was conducted where one of the investigators noted and recorded the latency to traverse the beam to the goal box, while the other investigator placed</w:t>
      </w:r>
      <w:r>
        <w:rPr>
          <w:spacing w:val="28"/>
        </w:rPr>
        <w:t> </w:t>
      </w:r>
      <w:r>
        <w:rPr/>
        <w:t>the</w:t>
      </w:r>
      <w:r>
        <w:rPr>
          <w:spacing w:val="26"/>
        </w:rPr>
        <w:t> </w:t>
      </w:r>
      <w:r>
        <w:rPr/>
        <w:t>mice</w:t>
      </w:r>
      <w:r>
        <w:rPr>
          <w:spacing w:val="26"/>
        </w:rPr>
        <w:t> </w:t>
      </w:r>
      <w:r>
        <w:rPr/>
        <w:t>on the</w:t>
      </w:r>
      <w:r>
        <w:rPr>
          <w:spacing w:val="26"/>
        </w:rPr>
        <w:t> </w:t>
      </w:r>
      <w:r>
        <w:rPr/>
        <w:t>beam</w:t>
      </w:r>
      <w:r>
        <w:rPr>
          <w:spacing w:val="28"/>
        </w:rPr>
        <w:t> </w:t>
      </w:r>
      <w:r>
        <w:rPr/>
        <w:t>at</w:t>
      </w:r>
      <w:r>
        <w:rPr>
          <w:spacing w:val="25"/>
        </w:rPr>
        <w:t> </w:t>
      </w:r>
      <w:r>
        <w:rPr/>
        <w:t>the</w:t>
      </w:r>
      <w:r>
        <w:rPr>
          <w:spacing w:val="21"/>
        </w:rPr>
        <w:t> </w:t>
      </w:r>
      <w:r>
        <w:rPr/>
        <w:t>start</w:t>
      </w:r>
      <w:r>
        <w:rPr>
          <w:spacing w:val="25"/>
        </w:rPr>
        <w:t> </w:t>
      </w:r>
      <w:r>
        <w:rPr/>
        <w:t>of</w:t>
      </w:r>
      <w:r>
        <w:rPr>
          <w:spacing w:val="21"/>
        </w:rPr>
        <w:t> </w:t>
      </w:r>
      <w:r>
        <w:rPr/>
        <w:t>each trial,</w:t>
      </w:r>
      <w:r>
        <w:rPr>
          <w:spacing w:val="26"/>
        </w:rPr>
        <w:t> </w:t>
      </w:r>
      <w:r>
        <w:rPr/>
        <w:t>removed</w:t>
      </w:r>
      <w:r>
        <w:rPr>
          <w:spacing w:val="22"/>
        </w:rPr>
        <w:t> </w:t>
      </w:r>
      <w:r>
        <w:rPr/>
        <w:t>them</w:t>
      </w:r>
      <w:r>
        <w:rPr>
          <w:spacing w:val="22"/>
        </w:rPr>
        <w:t> </w:t>
      </w:r>
      <w:r>
        <w:rPr/>
        <w:t>and</w:t>
      </w:r>
      <w:r>
        <w:rPr>
          <w:spacing w:val="28"/>
        </w:rPr>
        <w:t> </w:t>
      </w:r>
      <w:r>
        <w:rPr/>
        <w:t>also</w:t>
      </w:r>
      <w:r>
        <w:rPr>
          <w:spacing w:val="28"/>
        </w:rPr>
        <w:t> </w:t>
      </w:r>
      <w:r>
        <w:rPr/>
        <w:t>recorded the foot-slips afterwards. A mouse was placed at the starting point and the latency to traverse the beam (up</w:t>
      </w:r>
      <w:r>
        <w:rPr>
          <w:spacing w:val="29"/>
        </w:rPr>
        <w:t> </w:t>
      </w:r>
      <w:r>
        <w:rPr/>
        <w:t>to a maximum of 60 seconds) was timed. Each mouse was given few</w:t>
      </w:r>
      <w:r>
        <w:rPr>
          <w:spacing w:val="27"/>
        </w:rPr>
        <w:t> </w:t>
      </w:r>
      <w:r>
        <w:rPr/>
        <w:t>consecutive</w:t>
      </w:r>
      <w:r>
        <w:rPr>
          <w:spacing w:val="27"/>
        </w:rPr>
        <w:t> </w:t>
      </w:r>
      <w:r>
        <w:rPr/>
        <w:t>trials</w:t>
      </w:r>
      <w:r>
        <w:rPr>
          <w:spacing w:val="31"/>
        </w:rPr>
        <w:t> </w:t>
      </w:r>
      <w:r>
        <w:rPr/>
        <w:t>in</w:t>
      </w:r>
      <w:r>
        <w:rPr>
          <w:spacing w:val="24"/>
        </w:rPr>
        <w:t> </w:t>
      </w:r>
      <w:r>
        <w:rPr/>
        <w:t>order</w:t>
      </w:r>
      <w:r>
        <w:rPr>
          <w:spacing w:val="28"/>
        </w:rPr>
        <w:t> </w:t>
      </w:r>
      <w:r>
        <w:rPr/>
        <w:t>to</w:t>
      </w:r>
      <w:r>
        <w:rPr>
          <w:spacing w:val="35"/>
        </w:rPr>
        <w:t> </w:t>
      </w:r>
      <w:r>
        <w:rPr/>
        <w:t>avoid</w:t>
      </w:r>
      <w:r>
        <w:rPr>
          <w:spacing w:val="30"/>
        </w:rPr>
        <w:t> </w:t>
      </w:r>
      <w:r>
        <w:rPr/>
        <w:t>the</w:t>
      </w:r>
      <w:r>
        <w:rPr>
          <w:spacing w:val="27"/>
        </w:rPr>
        <w:t> </w:t>
      </w:r>
      <w:r>
        <w:rPr/>
        <w:t>possible</w:t>
      </w:r>
      <w:r>
        <w:rPr>
          <w:spacing w:val="27"/>
        </w:rPr>
        <w:t> </w:t>
      </w:r>
      <w:r>
        <w:rPr/>
        <w:t>influence</w:t>
      </w:r>
      <w:r>
        <w:rPr>
          <w:spacing w:val="33"/>
        </w:rPr>
        <w:t> </w:t>
      </w:r>
      <w:r>
        <w:rPr/>
        <w:t>of</w:t>
      </w:r>
      <w:r>
        <w:rPr>
          <w:spacing w:val="23"/>
        </w:rPr>
        <w:t> </w:t>
      </w:r>
      <w:r>
        <w:rPr/>
        <w:t>learning</w:t>
      </w:r>
      <w:r>
        <w:rPr>
          <w:spacing w:val="24"/>
        </w:rPr>
        <w:t> </w:t>
      </w:r>
      <w:r>
        <w:rPr/>
        <w:t>and</w:t>
      </w:r>
      <w:r>
        <w:rPr>
          <w:spacing w:val="35"/>
        </w:rPr>
        <w:t> </w:t>
      </w:r>
      <w:r>
        <w:rPr/>
        <w:t>returned to</w:t>
      </w:r>
      <w:r>
        <w:rPr>
          <w:spacing w:val="36"/>
        </w:rPr>
        <w:t> </w:t>
      </w:r>
      <w:r>
        <w:rPr/>
        <w:t>its</w:t>
      </w:r>
      <w:r>
        <w:rPr>
          <w:spacing w:val="27"/>
        </w:rPr>
        <w:t> </w:t>
      </w:r>
      <w:r>
        <w:rPr/>
        <w:t>home</w:t>
      </w:r>
      <w:r>
        <w:rPr>
          <w:spacing w:val="24"/>
        </w:rPr>
        <w:t> </w:t>
      </w:r>
      <w:r>
        <w:rPr/>
        <w:t>cage.</w:t>
      </w:r>
      <w:r>
        <w:rPr>
          <w:spacing w:val="31"/>
        </w:rPr>
        <w:t> </w:t>
      </w:r>
      <w:r>
        <w:rPr/>
        <w:t>The</w:t>
      </w:r>
      <w:r>
        <w:rPr>
          <w:spacing w:val="30"/>
        </w:rPr>
        <w:t> </w:t>
      </w:r>
      <w:r>
        <w:rPr/>
        <w:t>flat</w:t>
      </w:r>
      <w:r>
        <w:rPr>
          <w:spacing w:val="28"/>
        </w:rPr>
        <w:t> </w:t>
      </w:r>
      <w:r>
        <w:rPr/>
        <w:t>beam</w:t>
      </w:r>
      <w:r>
        <w:rPr>
          <w:spacing w:val="32"/>
        </w:rPr>
        <w:t> </w:t>
      </w:r>
      <w:r>
        <w:rPr/>
        <w:t>was</w:t>
      </w:r>
      <w:r>
        <w:rPr>
          <w:spacing w:val="27"/>
        </w:rPr>
        <w:t> </w:t>
      </w:r>
      <w:r>
        <w:rPr/>
        <w:t>used</w:t>
      </w:r>
      <w:r>
        <w:rPr>
          <w:spacing w:val="36"/>
        </w:rPr>
        <w:t> </w:t>
      </w:r>
      <w:r>
        <w:rPr/>
        <w:t>for</w:t>
      </w:r>
      <w:r>
        <w:rPr>
          <w:spacing w:val="32"/>
        </w:rPr>
        <w:t> </w:t>
      </w:r>
      <w:r>
        <w:rPr/>
        <w:t>training</w:t>
      </w:r>
      <w:r>
        <w:rPr>
          <w:spacing w:val="26"/>
        </w:rPr>
        <w:t> </w:t>
      </w:r>
      <w:r>
        <w:rPr/>
        <w:t>mice,</w:t>
      </w:r>
      <w:r>
        <w:rPr>
          <w:spacing w:val="30"/>
        </w:rPr>
        <w:t> </w:t>
      </w:r>
      <w:r>
        <w:rPr/>
        <w:t>while</w:t>
      </w:r>
      <w:r>
        <w:rPr>
          <w:spacing w:val="30"/>
        </w:rPr>
        <w:t> </w:t>
      </w:r>
      <w:r>
        <w:rPr/>
        <w:t>the</w:t>
      </w:r>
      <w:r>
        <w:rPr>
          <w:spacing w:val="30"/>
        </w:rPr>
        <w:t> </w:t>
      </w:r>
      <w:r>
        <w:rPr/>
        <w:t>round-beam</w:t>
      </w:r>
      <w:r>
        <w:rPr>
          <w:spacing w:val="26"/>
        </w:rPr>
        <w:t> </w:t>
      </w:r>
      <w:r>
        <w:rPr/>
        <w:t>for the actual test. During the first few trials, some animals</w:t>
      </w:r>
      <w:r>
        <w:rPr>
          <w:spacing w:val="26"/>
        </w:rPr>
        <w:t> </w:t>
      </w:r>
      <w:r>
        <w:rPr/>
        <w:t>had</w:t>
      </w:r>
      <w:r>
        <w:rPr>
          <w:spacing w:val="25"/>
        </w:rPr>
        <w:t> </w:t>
      </w:r>
      <w:r>
        <w:rPr/>
        <w:t>to be given encouragement</w:t>
      </w:r>
      <w:r>
        <w:rPr>
          <w:spacing w:val="40"/>
        </w:rPr>
        <w:t> </w:t>
      </w:r>
      <w:r>
        <w:rPr/>
        <w:t>(in form of an occasional nudge with a finger) in order to traverse the full length of the beam. However, they soon learnt to cross rapidly to the enclosed goal box without any additional</w:t>
      </w:r>
      <w:r>
        <w:rPr>
          <w:spacing w:val="40"/>
        </w:rPr>
        <w:t> </w:t>
      </w:r>
      <w:r>
        <w:rPr/>
        <w:t>encouragement.</w:t>
      </w:r>
      <w:r>
        <w:rPr>
          <w:spacing w:val="40"/>
        </w:rPr>
        <w:t> </w:t>
      </w:r>
      <w:r>
        <w:rPr/>
        <w:t>Methylated</w:t>
      </w:r>
      <w:r>
        <w:rPr>
          <w:spacing w:val="40"/>
        </w:rPr>
        <w:t> </w:t>
      </w:r>
      <w:r>
        <w:rPr/>
        <w:t>spirit</w:t>
      </w:r>
      <w:r>
        <w:rPr>
          <w:spacing w:val="40"/>
        </w:rPr>
        <w:t> </w:t>
      </w:r>
      <w:r>
        <w:rPr/>
        <w:t>was</w:t>
      </w:r>
      <w:r>
        <w:rPr>
          <w:spacing w:val="40"/>
        </w:rPr>
        <w:t> </w:t>
      </w:r>
      <w:r>
        <w:rPr/>
        <w:t>used</w:t>
      </w:r>
      <w:r>
        <w:rPr>
          <w:spacing w:val="40"/>
        </w:rPr>
        <w:t> </w:t>
      </w:r>
      <w:r>
        <w:rPr/>
        <w:t>to</w:t>
      </w:r>
      <w:r>
        <w:rPr>
          <w:spacing w:val="40"/>
        </w:rPr>
        <w:t> </w:t>
      </w:r>
      <w:r>
        <w:rPr/>
        <w:t>clean</w:t>
      </w:r>
      <w:r>
        <w:rPr>
          <w:spacing w:val="40"/>
        </w:rPr>
        <w:t> </w:t>
      </w:r>
      <w:r>
        <w:rPr/>
        <w:t>the</w:t>
      </w:r>
      <w:r>
        <w:rPr>
          <w:spacing w:val="40"/>
        </w:rPr>
        <w:t> </w:t>
      </w:r>
      <w:r>
        <w:rPr/>
        <w:t>apparatus</w:t>
      </w:r>
      <w:r>
        <w:rPr>
          <w:spacing w:val="40"/>
        </w:rPr>
        <w:t> </w:t>
      </w:r>
      <w:r>
        <w:rPr/>
        <w:t>and allowed</w:t>
      </w:r>
      <w:r>
        <w:rPr>
          <w:spacing w:val="33"/>
        </w:rPr>
        <w:t> </w:t>
      </w:r>
      <w:r>
        <w:rPr/>
        <w:t>to</w:t>
      </w:r>
      <w:r>
        <w:rPr>
          <w:spacing w:val="27"/>
        </w:rPr>
        <w:t> </w:t>
      </w:r>
      <w:r>
        <w:rPr/>
        <w:t>evaporate</w:t>
      </w:r>
      <w:r>
        <w:rPr>
          <w:spacing w:val="25"/>
        </w:rPr>
        <w:t> </w:t>
      </w:r>
      <w:r>
        <w:rPr/>
        <w:t>fully</w:t>
      </w:r>
      <w:r>
        <w:rPr>
          <w:spacing w:val="17"/>
        </w:rPr>
        <w:t> </w:t>
      </w:r>
      <w:r>
        <w:rPr/>
        <w:t>after</w:t>
      </w:r>
      <w:r>
        <w:rPr>
          <w:spacing w:val="26"/>
        </w:rPr>
        <w:t> </w:t>
      </w:r>
      <w:r>
        <w:rPr/>
        <w:t>each</w:t>
      </w:r>
      <w:r>
        <w:rPr>
          <w:spacing w:val="27"/>
        </w:rPr>
        <w:t> </w:t>
      </w:r>
      <w:r>
        <w:rPr/>
        <w:t>trial</w:t>
      </w:r>
      <w:r>
        <w:rPr>
          <w:spacing w:val="25"/>
        </w:rPr>
        <w:t> </w:t>
      </w:r>
      <w:r>
        <w:rPr/>
        <w:t>before</w:t>
      </w:r>
      <w:r>
        <w:rPr>
          <w:spacing w:val="25"/>
        </w:rPr>
        <w:t> </w:t>
      </w:r>
      <w:r>
        <w:rPr/>
        <w:t>re-using</w:t>
      </w:r>
      <w:r>
        <w:rPr>
          <w:spacing w:val="23"/>
        </w:rPr>
        <w:t> </w:t>
      </w:r>
      <w:r>
        <w:rPr/>
        <w:t>the</w:t>
      </w:r>
      <w:r>
        <w:rPr>
          <w:spacing w:val="25"/>
        </w:rPr>
        <w:t> </w:t>
      </w:r>
      <w:r>
        <w:rPr/>
        <w:t>apparatus.</w:t>
      </w:r>
      <w:r>
        <w:rPr>
          <w:spacing w:val="31"/>
        </w:rPr>
        <w:t> </w:t>
      </w:r>
      <w:r>
        <w:rPr/>
        <w:t>This</w:t>
      </w:r>
      <w:r>
        <w:rPr>
          <w:spacing w:val="23"/>
        </w:rPr>
        <w:t> </w:t>
      </w:r>
      <w:r>
        <w:rPr/>
        <w:t>was</w:t>
      </w:r>
      <w:r>
        <w:rPr>
          <w:spacing w:val="23"/>
        </w:rPr>
        <w:t> </w:t>
      </w:r>
      <w:r>
        <w:rPr/>
        <w:t>done to</w:t>
      </w:r>
      <w:r>
        <w:rPr>
          <w:spacing w:val="36"/>
        </w:rPr>
        <w:t> </w:t>
      </w:r>
      <w:r>
        <w:rPr/>
        <w:t>avoid bias and</w:t>
      </w:r>
      <w:r>
        <w:rPr>
          <w:spacing w:val="31"/>
        </w:rPr>
        <w:t> </w:t>
      </w:r>
      <w:r>
        <w:rPr/>
        <w:t>also</w:t>
      </w:r>
      <w:r>
        <w:rPr>
          <w:spacing w:val="31"/>
        </w:rPr>
        <w:t> </w:t>
      </w:r>
      <w:r>
        <w:rPr/>
        <w:t>wash off the</w:t>
      </w:r>
      <w:r>
        <w:rPr>
          <w:spacing w:val="35"/>
        </w:rPr>
        <w:t> </w:t>
      </w:r>
      <w:r>
        <w:rPr/>
        <w:t>stained urine,</w:t>
      </w:r>
      <w:r>
        <w:rPr>
          <w:spacing w:val="35"/>
        </w:rPr>
        <w:t> </w:t>
      </w:r>
      <w:r>
        <w:rPr/>
        <w:t>which may serve as a</w:t>
      </w:r>
      <w:r>
        <w:rPr>
          <w:spacing w:val="35"/>
        </w:rPr>
        <w:t> </w:t>
      </w:r>
      <w:r>
        <w:rPr/>
        <w:t>guide to</w:t>
      </w:r>
      <w:r>
        <w:rPr>
          <w:spacing w:val="31"/>
        </w:rPr>
        <w:t> </w:t>
      </w:r>
      <w:r>
        <w:rPr/>
        <w:t>most mice and, therefore, alter the accuracy of data. At the end of the trials, animals were allowed</w:t>
      </w:r>
      <w:r>
        <w:rPr>
          <w:spacing w:val="40"/>
        </w:rPr>
        <w:t> </w:t>
      </w:r>
      <w:r>
        <w:rPr/>
        <w:t>to</w:t>
      </w:r>
      <w:r>
        <w:rPr>
          <w:spacing w:val="40"/>
        </w:rPr>
        <w:t> </w:t>
      </w:r>
      <w:r>
        <w:rPr/>
        <w:t>rest</w:t>
      </w:r>
      <w:r>
        <w:rPr>
          <w:spacing w:val="40"/>
        </w:rPr>
        <w:t> </w:t>
      </w:r>
      <w:r>
        <w:rPr/>
        <w:t>before</w:t>
      </w:r>
      <w:r>
        <w:rPr>
          <w:spacing w:val="40"/>
        </w:rPr>
        <w:t> </w:t>
      </w:r>
      <w:r>
        <w:rPr/>
        <w:t>the</w:t>
      </w:r>
      <w:r>
        <w:rPr>
          <w:spacing w:val="40"/>
        </w:rPr>
        <w:t> </w:t>
      </w:r>
      <w:r>
        <w:rPr/>
        <w:t>testing</w:t>
      </w:r>
      <w:r>
        <w:rPr>
          <w:spacing w:val="40"/>
        </w:rPr>
        <w:t> </w:t>
      </w:r>
      <w:r>
        <w:rPr/>
        <w:t>while</w:t>
      </w:r>
      <w:r>
        <w:rPr>
          <w:spacing w:val="40"/>
        </w:rPr>
        <w:t> </w:t>
      </w:r>
      <w:r>
        <w:rPr/>
        <w:t>the</w:t>
      </w:r>
      <w:r>
        <w:rPr>
          <w:spacing w:val="40"/>
        </w:rPr>
        <w:t> </w:t>
      </w:r>
      <w:r>
        <w:rPr/>
        <w:t>experimental</w:t>
      </w:r>
      <w:r>
        <w:rPr>
          <w:spacing w:val="40"/>
        </w:rPr>
        <w:t> </w:t>
      </w:r>
      <w:r>
        <w:rPr/>
        <w:t>groups</w:t>
      </w:r>
      <w:r>
        <w:rPr>
          <w:spacing w:val="40"/>
        </w:rPr>
        <w:t> </w:t>
      </w:r>
      <w:r>
        <w:rPr/>
        <w:t>are</w:t>
      </w:r>
      <w:r>
        <w:rPr>
          <w:spacing w:val="40"/>
        </w:rPr>
        <w:t> </w:t>
      </w:r>
      <w:r>
        <w:rPr/>
        <w:t>exposed</w:t>
      </w:r>
      <w:r>
        <w:rPr>
          <w:spacing w:val="40"/>
        </w:rPr>
        <w:t> </w:t>
      </w:r>
      <w:r>
        <w:rPr/>
        <w:t>to</w:t>
      </w:r>
      <w:r>
        <w:rPr>
          <w:spacing w:val="40"/>
        </w:rPr>
        <w:t> </w:t>
      </w:r>
      <w:r>
        <w:rPr/>
        <w:t>the fumes</w:t>
      </w:r>
      <w:r>
        <w:rPr>
          <w:spacing w:val="40"/>
        </w:rPr>
        <w:t> </w:t>
      </w:r>
      <w:r>
        <w:rPr/>
        <w:t>of</w:t>
      </w:r>
      <w:r>
        <w:rPr>
          <w:spacing w:val="40"/>
        </w:rPr>
        <w:t> </w:t>
      </w:r>
      <w:r>
        <w:rPr/>
        <w:t>generator</w:t>
      </w:r>
      <w:r>
        <w:rPr>
          <w:spacing w:val="40"/>
        </w:rPr>
        <w:t> </w:t>
      </w:r>
      <w:r>
        <w:rPr/>
        <w:t>exhaust</w:t>
      </w:r>
      <w:r>
        <w:rPr>
          <w:spacing w:val="40"/>
        </w:rPr>
        <w:t> </w:t>
      </w:r>
      <w:r>
        <w:rPr/>
        <w:t>containing</w:t>
      </w:r>
      <w:r>
        <w:rPr>
          <w:spacing w:val="40"/>
        </w:rPr>
        <w:t> </w:t>
      </w:r>
      <w:r>
        <w:rPr/>
        <w:t>CO.</w:t>
      </w:r>
      <w:r>
        <w:rPr>
          <w:spacing w:val="40"/>
        </w:rPr>
        <w:t> </w:t>
      </w:r>
      <w:r>
        <w:rPr/>
        <w:t>At</w:t>
      </w:r>
      <w:r>
        <w:rPr>
          <w:spacing w:val="40"/>
        </w:rPr>
        <w:t> </w:t>
      </w:r>
      <w:r>
        <w:rPr/>
        <w:t>the</w:t>
      </w:r>
      <w:r>
        <w:rPr>
          <w:spacing w:val="40"/>
        </w:rPr>
        <w:t> </w:t>
      </w:r>
      <w:r>
        <w:rPr/>
        <w:t>end</w:t>
      </w:r>
      <w:r>
        <w:rPr>
          <w:spacing w:val="40"/>
        </w:rPr>
        <w:t> </w:t>
      </w:r>
      <w:r>
        <w:rPr/>
        <w:t>of</w:t>
      </w:r>
      <w:r>
        <w:rPr>
          <w:spacing w:val="40"/>
        </w:rPr>
        <w:t> </w:t>
      </w:r>
      <w:r>
        <w:rPr/>
        <w:t>the</w:t>
      </w:r>
      <w:r>
        <w:rPr>
          <w:spacing w:val="40"/>
        </w:rPr>
        <w:t> </w:t>
      </w:r>
      <w:r>
        <w:rPr/>
        <w:t>day’s</w:t>
      </w:r>
      <w:r>
        <w:rPr>
          <w:spacing w:val="40"/>
        </w:rPr>
        <w:t> </w:t>
      </w:r>
      <w:r>
        <w:rPr/>
        <w:t>session,</w:t>
      </w:r>
      <w:r>
        <w:rPr>
          <w:spacing w:val="40"/>
        </w:rPr>
        <w:t> </w:t>
      </w:r>
      <w:r>
        <w:rPr/>
        <w:t>animals were returned to their home cages and the apparatus was thoroughly cleaned with methylated spirit.</w:t>
      </w:r>
    </w:p>
    <w:p>
      <w:pPr>
        <w:pStyle w:val="BodyText"/>
      </w:pPr>
    </w:p>
    <w:p>
      <w:pPr>
        <w:pStyle w:val="BodyText"/>
        <w:spacing w:before="18"/>
      </w:pPr>
    </w:p>
    <w:p>
      <w:pPr>
        <w:pStyle w:val="BodyText"/>
        <w:spacing w:line="491" w:lineRule="auto"/>
        <w:ind w:left="665" w:right="893"/>
        <w:jc w:val="both"/>
      </w:pPr>
      <w:r>
        <w:rPr/>
        <w:t>Experimental animals in Group I were exposed to the CO for thirty minutes. Thereafter each of the animals in the group underwent beam walk test sequentially. After the study group</w:t>
      </w:r>
      <w:r>
        <w:rPr>
          <w:spacing w:val="40"/>
        </w:rPr>
        <w:t> </w:t>
      </w:r>
      <w:r>
        <w:rPr/>
        <w:t>had</w:t>
      </w:r>
      <w:r>
        <w:rPr>
          <w:spacing w:val="40"/>
        </w:rPr>
        <w:t> </w:t>
      </w:r>
      <w:r>
        <w:rPr/>
        <w:t>completed</w:t>
      </w:r>
      <w:r>
        <w:rPr>
          <w:spacing w:val="39"/>
        </w:rPr>
        <w:t> </w:t>
      </w:r>
      <w:r>
        <w:rPr/>
        <w:t>the</w:t>
      </w:r>
      <w:r>
        <w:rPr>
          <w:spacing w:val="32"/>
        </w:rPr>
        <w:t> </w:t>
      </w:r>
      <w:r>
        <w:rPr/>
        <w:t>test,</w:t>
      </w:r>
      <w:r>
        <w:rPr>
          <w:spacing w:val="38"/>
        </w:rPr>
        <w:t> </w:t>
      </w:r>
      <w:r>
        <w:rPr/>
        <w:t>the</w:t>
      </w:r>
      <w:r>
        <w:rPr>
          <w:spacing w:val="40"/>
        </w:rPr>
        <w:t> </w:t>
      </w:r>
      <w:r>
        <w:rPr/>
        <w:t>control</w:t>
      </w:r>
      <w:r>
        <w:rPr>
          <w:spacing w:val="31"/>
        </w:rPr>
        <w:t> </w:t>
      </w:r>
      <w:r>
        <w:rPr/>
        <w:t>group</w:t>
      </w:r>
      <w:r>
        <w:rPr>
          <w:spacing w:val="40"/>
        </w:rPr>
        <w:t> </w:t>
      </w:r>
      <w:r>
        <w:rPr/>
        <w:t>then</w:t>
      </w:r>
      <w:r>
        <w:rPr>
          <w:spacing w:val="34"/>
        </w:rPr>
        <w:t> </w:t>
      </w:r>
      <w:r>
        <w:rPr/>
        <w:t>underwent</w:t>
      </w:r>
      <w:r>
        <w:rPr>
          <w:spacing w:val="38"/>
        </w:rPr>
        <w:t> </w:t>
      </w:r>
      <w:r>
        <w:rPr/>
        <w:t>the</w:t>
      </w:r>
      <w:r>
        <w:rPr>
          <w:spacing w:val="32"/>
        </w:rPr>
        <w:t> </w:t>
      </w:r>
      <w:r>
        <w:rPr/>
        <w:t>same</w:t>
      </w:r>
      <w:r>
        <w:rPr>
          <w:spacing w:val="38"/>
        </w:rPr>
        <w:t> </w:t>
      </w:r>
      <w:r>
        <w:rPr/>
        <w:t>Beam</w:t>
      </w:r>
      <w:r>
        <w:rPr>
          <w:spacing w:val="39"/>
        </w:rPr>
        <w:t> </w:t>
      </w:r>
      <w:r>
        <w:rPr/>
        <w:t>walk test.</w:t>
      </w:r>
      <w:r>
        <w:rPr>
          <w:spacing w:val="33"/>
        </w:rPr>
        <w:t> </w:t>
      </w:r>
      <w:r>
        <w:rPr/>
        <w:t>Beam</w:t>
      </w:r>
      <w:r>
        <w:rPr>
          <w:spacing w:val="30"/>
        </w:rPr>
        <w:t> </w:t>
      </w:r>
      <w:r>
        <w:rPr/>
        <w:t>walk</w:t>
      </w:r>
      <w:r>
        <w:rPr>
          <w:spacing w:val="30"/>
        </w:rPr>
        <w:t> </w:t>
      </w:r>
      <w:r>
        <w:rPr/>
        <w:t>was</w:t>
      </w:r>
      <w:r>
        <w:rPr>
          <w:spacing w:val="31"/>
        </w:rPr>
        <w:t> </w:t>
      </w:r>
      <w:r>
        <w:rPr/>
        <w:t>conducted</w:t>
      </w:r>
      <w:r>
        <w:rPr>
          <w:spacing w:val="36"/>
        </w:rPr>
        <w:t> </w:t>
      </w:r>
      <w:r>
        <w:rPr/>
        <w:t>in</w:t>
      </w:r>
      <w:r>
        <w:rPr>
          <w:spacing w:val="24"/>
        </w:rPr>
        <w:t> </w:t>
      </w:r>
      <w:r>
        <w:rPr/>
        <w:t>order</w:t>
      </w:r>
      <w:r>
        <w:rPr>
          <w:spacing w:val="35"/>
        </w:rPr>
        <w:t> </w:t>
      </w:r>
      <w:r>
        <w:rPr/>
        <w:t>to</w:t>
      </w:r>
      <w:r>
        <w:rPr>
          <w:spacing w:val="30"/>
        </w:rPr>
        <w:t> </w:t>
      </w:r>
      <w:r>
        <w:rPr/>
        <w:t>detect</w:t>
      </w:r>
      <w:r>
        <w:rPr>
          <w:spacing w:val="32"/>
        </w:rPr>
        <w:t> </w:t>
      </w:r>
      <w:r>
        <w:rPr/>
        <w:t>any</w:t>
      </w:r>
      <w:r>
        <w:rPr>
          <w:spacing w:val="24"/>
        </w:rPr>
        <w:t> </w:t>
      </w:r>
      <w:r>
        <w:rPr/>
        <w:t>neurological</w:t>
      </w:r>
      <w:r>
        <w:rPr>
          <w:spacing w:val="26"/>
        </w:rPr>
        <w:t> </w:t>
      </w:r>
      <w:r>
        <w:rPr/>
        <w:t>deficits</w:t>
      </w:r>
      <w:r>
        <w:rPr>
          <w:spacing w:val="37"/>
        </w:rPr>
        <w:t> </w:t>
      </w:r>
      <w:r>
        <w:rPr/>
        <w:t>in</w:t>
      </w:r>
      <w:r>
        <w:rPr>
          <w:spacing w:val="30"/>
        </w:rPr>
        <w:t> </w:t>
      </w:r>
      <w:r>
        <w:rPr/>
        <w:t>sensory,</w:t>
      </w:r>
    </w:p>
    <w:p>
      <w:pPr>
        <w:spacing w:after="0" w:line="491" w:lineRule="auto"/>
        <w:jc w:val="both"/>
        <w:sectPr>
          <w:pgSz w:w="12240" w:h="15840"/>
          <w:pgMar w:header="0" w:footer="916" w:top="1260" w:bottom="1100" w:left="1720" w:right="960"/>
        </w:sectPr>
      </w:pPr>
    </w:p>
    <w:p>
      <w:pPr>
        <w:pStyle w:val="BodyText"/>
        <w:spacing w:line="491" w:lineRule="auto" w:before="75"/>
        <w:ind w:left="665" w:right="899"/>
        <w:jc w:val="both"/>
      </w:pPr>
      <w:r>
        <w:rPr/>
        <w:t>balance, or motor performance. The actual test involved measurement of the latency to traverse</w:t>
      </w:r>
      <w:r>
        <w:rPr>
          <w:spacing w:val="40"/>
        </w:rPr>
        <w:t> </w:t>
      </w:r>
      <w:r>
        <w:rPr/>
        <w:t>each</w:t>
      </w:r>
      <w:r>
        <w:rPr>
          <w:spacing w:val="36"/>
        </w:rPr>
        <w:t> </w:t>
      </w:r>
      <w:r>
        <w:rPr/>
        <w:t>beam,</w:t>
      </w:r>
      <w:r>
        <w:rPr>
          <w:spacing w:val="40"/>
        </w:rPr>
        <w:t> </w:t>
      </w:r>
      <w:r>
        <w:rPr/>
        <w:t>and</w:t>
      </w:r>
      <w:r>
        <w:rPr>
          <w:spacing w:val="40"/>
        </w:rPr>
        <w:t> </w:t>
      </w:r>
      <w:r>
        <w:rPr/>
        <w:t>the</w:t>
      </w:r>
      <w:r>
        <w:rPr>
          <w:spacing w:val="40"/>
        </w:rPr>
        <w:t> </w:t>
      </w:r>
      <w:r>
        <w:rPr/>
        <w:t>number</w:t>
      </w:r>
      <w:r>
        <w:rPr>
          <w:spacing w:val="40"/>
        </w:rPr>
        <w:t> </w:t>
      </w:r>
      <w:r>
        <w:rPr/>
        <w:t>of</w:t>
      </w:r>
      <w:r>
        <w:rPr>
          <w:spacing w:val="40"/>
        </w:rPr>
        <w:t> </w:t>
      </w:r>
      <w:r>
        <w:rPr/>
        <w:t>times</w:t>
      </w:r>
      <w:r>
        <w:rPr>
          <w:spacing w:val="37"/>
        </w:rPr>
        <w:t> </w:t>
      </w:r>
      <w:r>
        <w:rPr/>
        <w:t>the</w:t>
      </w:r>
      <w:r>
        <w:rPr>
          <w:spacing w:val="38"/>
        </w:rPr>
        <w:t> </w:t>
      </w:r>
      <w:r>
        <w:rPr/>
        <w:t>left</w:t>
      </w:r>
      <w:r>
        <w:rPr>
          <w:spacing w:val="40"/>
        </w:rPr>
        <w:t> </w:t>
      </w:r>
      <w:r>
        <w:rPr/>
        <w:t>and</w:t>
      </w:r>
      <w:r>
        <w:rPr>
          <w:spacing w:val="40"/>
        </w:rPr>
        <w:t> </w:t>
      </w:r>
      <w:r>
        <w:rPr/>
        <w:t>right</w:t>
      </w:r>
      <w:r>
        <w:rPr>
          <w:spacing w:val="40"/>
        </w:rPr>
        <w:t> </w:t>
      </w:r>
      <w:r>
        <w:rPr/>
        <w:t>hind</w:t>
      </w:r>
      <w:r>
        <w:rPr>
          <w:spacing w:val="40"/>
        </w:rPr>
        <w:t> </w:t>
      </w:r>
      <w:r>
        <w:rPr/>
        <w:t>feet</w:t>
      </w:r>
      <w:r>
        <w:rPr>
          <w:spacing w:val="40"/>
        </w:rPr>
        <w:t> </w:t>
      </w:r>
      <w:r>
        <w:rPr/>
        <w:t>slip-off</w:t>
      </w:r>
      <w:r>
        <w:rPr>
          <w:spacing w:val="40"/>
        </w:rPr>
        <w:t> </w:t>
      </w:r>
      <w:r>
        <w:rPr/>
        <w:t>the beam for each test. Each mouse was allowed up to a maximum of 60 seconds to traverse the beam. Occasionally</w:t>
      </w:r>
      <w:r>
        <w:rPr>
          <w:spacing w:val="-3"/>
        </w:rPr>
        <w:t> </w:t>
      </w:r>
      <w:r>
        <w:rPr/>
        <w:t>mice may fall from the beam, and that was recorded as a failure. The number of failures was analyzed separately. At the end of testing session, animals were</w:t>
      </w:r>
      <w:r>
        <w:rPr>
          <w:spacing w:val="40"/>
        </w:rPr>
        <w:t> </w:t>
      </w:r>
      <w:r>
        <w:rPr/>
        <w:t>returned</w:t>
      </w:r>
      <w:r>
        <w:rPr>
          <w:spacing w:val="40"/>
        </w:rPr>
        <w:t> </w:t>
      </w:r>
      <w:r>
        <w:rPr/>
        <w:t>to</w:t>
      </w:r>
      <w:r>
        <w:rPr>
          <w:spacing w:val="40"/>
        </w:rPr>
        <w:t> </w:t>
      </w:r>
      <w:r>
        <w:rPr/>
        <w:t>their</w:t>
      </w:r>
      <w:r>
        <w:rPr>
          <w:spacing w:val="40"/>
        </w:rPr>
        <w:t> </w:t>
      </w:r>
      <w:r>
        <w:rPr/>
        <w:t>home</w:t>
      </w:r>
      <w:r>
        <w:rPr>
          <w:spacing w:val="40"/>
        </w:rPr>
        <w:t> </w:t>
      </w:r>
      <w:r>
        <w:rPr/>
        <w:t>cages</w:t>
      </w:r>
      <w:r>
        <w:rPr>
          <w:spacing w:val="40"/>
        </w:rPr>
        <w:t> </w:t>
      </w:r>
      <w:r>
        <w:rPr/>
        <w:t>in</w:t>
      </w:r>
      <w:r>
        <w:rPr>
          <w:spacing w:val="40"/>
        </w:rPr>
        <w:t> </w:t>
      </w:r>
      <w:r>
        <w:rPr/>
        <w:t>the</w:t>
      </w:r>
      <w:r>
        <w:rPr>
          <w:spacing w:val="40"/>
        </w:rPr>
        <w:t> </w:t>
      </w:r>
      <w:r>
        <w:rPr/>
        <w:t>animal</w:t>
      </w:r>
      <w:r>
        <w:rPr>
          <w:spacing w:val="40"/>
        </w:rPr>
        <w:t> </w:t>
      </w:r>
      <w:r>
        <w:rPr/>
        <w:t>house.</w:t>
      </w:r>
      <w:r>
        <w:rPr>
          <w:spacing w:val="40"/>
        </w:rPr>
        <w:t> </w:t>
      </w:r>
      <w:r>
        <w:rPr/>
        <w:t>The</w:t>
      </w:r>
      <w:r>
        <w:rPr>
          <w:spacing w:val="40"/>
        </w:rPr>
        <w:t> </w:t>
      </w:r>
      <w:r>
        <w:rPr/>
        <w:t>apparatuses</w:t>
      </w:r>
      <w:r>
        <w:rPr>
          <w:spacing w:val="40"/>
        </w:rPr>
        <w:t> </w:t>
      </w:r>
      <w:r>
        <w:rPr/>
        <w:t>were thoroughly cleansed with methylated spirit.</w:t>
      </w:r>
    </w:p>
    <w:p>
      <w:pPr>
        <w:spacing w:after="0" w:line="491" w:lineRule="auto"/>
        <w:jc w:val="both"/>
        <w:sectPr>
          <w:pgSz w:w="12240" w:h="15840"/>
          <w:pgMar w:header="0" w:footer="916" w:top="1260" w:bottom="1100" w:left="1720" w:right="960"/>
        </w:sectPr>
      </w:pPr>
    </w:p>
    <w:p>
      <w:pPr>
        <w:pStyle w:val="BodyText"/>
        <w:ind w:left="665"/>
        <w:rPr>
          <w:sz w:val="20"/>
        </w:rPr>
      </w:pPr>
      <w:r>
        <w:rPr>
          <w:sz w:val="20"/>
        </w:rPr>
        <w:drawing>
          <wp:inline distT="0" distB="0" distL="0" distR="0">
            <wp:extent cx="5313145" cy="3364991"/>
            <wp:effectExtent l="0" t="0" r="0" b="0"/>
            <wp:docPr id="9" name="Image 9"/>
            <wp:cNvGraphicFramePr>
              <a:graphicFrameLocks/>
            </wp:cNvGraphicFramePr>
            <a:graphic>
              <a:graphicData uri="http://schemas.openxmlformats.org/drawingml/2006/picture">
                <pic:pic>
                  <pic:nvPicPr>
                    <pic:cNvPr id="9" name="Image 9"/>
                    <pic:cNvPicPr/>
                  </pic:nvPicPr>
                  <pic:blipFill>
                    <a:blip r:embed="rId13" cstate="print"/>
                    <a:stretch>
                      <a:fillRect/>
                    </a:stretch>
                  </pic:blipFill>
                  <pic:spPr>
                    <a:xfrm>
                      <a:off x="0" y="0"/>
                      <a:ext cx="5313145" cy="3364991"/>
                    </a:xfrm>
                    <a:prstGeom prst="rect">
                      <a:avLst/>
                    </a:prstGeom>
                  </pic:spPr>
                </pic:pic>
              </a:graphicData>
            </a:graphic>
          </wp:inline>
        </w:drawing>
      </w:r>
      <w:r>
        <w:rPr>
          <w:sz w:val="20"/>
        </w:rPr>
      </w:r>
    </w:p>
    <w:p>
      <w:pPr>
        <w:pStyle w:val="Heading3"/>
        <w:spacing w:before="178"/>
      </w:pPr>
      <w:r>
        <w:rPr/>
        <w:t>Fig.</w:t>
      </w:r>
      <w:r>
        <w:rPr>
          <w:spacing w:val="6"/>
        </w:rPr>
        <w:t> </w:t>
      </w:r>
      <w:r>
        <w:rPr/>
        <w:t>3.4</w:t>
      </w:r>
      <w:r>
        <w:rPr>
          <w:spacing w:val="13"/>
        </w:rPr>
        <w:t> </w:t>
      </w:r>
      <w:r>
        <w:rPr/>
        <w:t>Beam</w:t>
      </w:r>
      <w:r>
        <w:rPr>
          <w:spacing w:val="10"/>
        </w:rPr>
        <w:t> </w:t>
      </w:r>
      <w:r>
        <w:rPr>
          <w:spacing w:val="-4"/>
        </w:rPr>
        <w:t>walk</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53"/>
        <w:rPr>
          <w:b/>
        </w:rPr>
      </w:pPr>
    </w:p>
    <w:p>
      <w:pPr>
        <w:pStyle w:val="ListParagraph"/>
        <w:numPr>
          <w:ilvl w:val="3"/>
          <w:numId w:val="22"/>
        </w:numPr>
        <w:tabs>
          <w:tab w:pos="1342" w:val="left" w:leader="none"/>
        </w:tabs>
        <w:spacing w:line="489" w:lineRule="auto" w:before="1" w:after="0"/>
        <w:ind w:left="665" w:right="899" w:firstLine="0"/>
        <w:jc w:val="left"/>
        <w:rPr>
          <w:sz w:val="22"/>
        </w:rPr>
      </w:pPr>
      <w:r>
        <w:rPr>
          <w:b/>
          <w:sz w:val="22"/>
        </w:rPr>
        <w:t>Assessment of Learning Retention Behaviour using the Elevated Plus Maze </w:t>
      </w:r>
      <w:r>
        <w:rPr>
          <w:sz w:val="22"/>
        </w:rPr>
        <w:t>The</w:t>
      </w:r>
      <w:r>
        <w:rPr>
          <w:spacing w:val="20"/>
          <w:sz w:val="22"/>
        </w:rPr>
        <w:t> </w:t>
      </w:r>
      <w:r>
        <w:rPr>
          <w:sz w:val="22"/>
        </w:rPr>
        <w:t>EPM</w:t>
      </w:r>
      <w:r>
        <w:rPr>
          <w:spacing w:val="27"/>
          <w:sz w:val="22"/>
        </w:rPr>
        <w:t> </w:t>
      </w:r>
      <w:r>
        <w:rPr>
          <w:sz w:val="22"/>
        </w:rPr>
        <w:t>apparatus was made of plywood</w:t>
      </w:r>
      <w:r>
        <w:rPr>
          <w:spacing w:val="28"/>
          <w:sz w:val="22"/>
        </w:rPr>
        <w:t> </w:t>
      </w:r>
      <w:r>
        <w:rPr>
          <w:sz w:val="22"/>
        </w:rPr>
        <w:t>and consisted of two open arms (25</w:t>
      </w:r>
      <w:r>
        <w:rPr>
          <w:spacing w:val="22"/>
          <w:sz w:val="22"/>
        </w:rPr>
        <w:t> </w:t>
      </w:r>
      <w:r>
        <w:rPr>
          <w:sz w:val="22"/>
        </w:rPr>
        <w:t>x 5</w:t>
      </w:r>
      <w:r>
        <w:rPr>
          <w:spacing w:val="28"/>
          <w:sz w:val="22"/>
        </w:rPr>
        <w:t> </w:t>
      </w:r>
      <w:r>
        <w:rPr>
          <w:sz w:val="22"/>
        </w:rPr>
        <w:t>cm) and</w:t>
      </w:r>
      <w:r>
        <w:rPr>
          <w:spacing w:val="14"/>
          <w:sz w:val="22"/>
        </w:rPr>
        <w:t> </w:t>
      </w:r>
      <w:r>
        <w:rPr>
          <w:sz w:val="22"/>
        </w:rPr>
        <w:t>two</w:t>
      </w:r>
      <w:r>
        <w:rPr>
          <w:spacing w:val="15"/>
          <w:sz w:val="22"/>
        </w:rPr>
        <w:t> </w:t>
      </w:r>
      <w:r>
        <w:rPr>
          <w:sz w:val="22"/>
        </w:rPr>
        <w:t>closed</w:t>
      </w:r>
      <w:r>
        <w:rPr>
          <w:spacing w:val="9"/>
          <w:sz w:val="22"/>
        </w:rPr>
        <w:t> </w:t>
      </w:r>
      <w:r>
        <w:rPr>
          <w:sz w:val="22"/>
        </w:rPr>
        <w:t>arms</w:t>
      </w:r>
      <w:r>
        <w:rPr>
          <w:spacing w:val="6"/>
          <w:sz w:val="22"/>
        </w:rPr>
        <w:t> </w:t>
      </w:r>
      <w:r>
        <w:rPr>
          <w:sz w:val="22"/>
        </w:rPr>
        <w:t>(25</w:t>
      </w:r>
      <w:r>
        <w:rPr>
          <w:spacing w:val="15"/>
          <w:sz w:val="22"/>
        </w:rPr>
        <w:t> </w:t>
      </w:r>
      <w:r>
        <w:rPr>
          <w:sz w:val="22"/>
        </w:rPr>
        <w:t>x</w:t>
      </w:r>
      <w:r>
        <w:rPr>
          <w:spacing w:val="5"/>
          <w:sz w:val="22"/>
        </w:rPr>
        <w:t> </w:t>
      </w:r>
      <w:r>
        <w:rPr>
          <w:sz w:val="22"/>
        </w:rPr>
        <w:t>5</w:t>
      </w:r>
      <w:r>
        <w:rPr>
          <w:spacing w:val="9"/>
          <w:sz w:val="22"/>
        </w:rPr>
        <w:t> </w:t>
      </w:r>
      <w:r>
        <w:rPr>
          <w:sz w:val="22"/>
        </w:rPr>
        <w:t>x</w:t>
      </w:r>
      <w:r>
        <w:rPr>
          <w:spacing w:val="5"/>
          <w:sz w:val="22"/>
        </w:rPr>
        <w:t> </w:t>
      </w:r>
      <w:r>
        <w:rPr>
          <w:sz w:val="22"/>
        </w:rPr>
        <w:t>15</w:t>
      </w:r>
      <w:r>
        <w:rPr>
          <w:spacing w:val="9"/>
          <w:sz w:val="22"/>
        </w:rPr>
        <w:t> </w:t>
      </w:r>
      <w:r>
        <w:rPr>
          <w:sz w:val="22"/>
        </w:rPr>
        <w:t>cm)</w:t>
      </w:r>
      <w:r>
        <w:rPr>
          <w:spacing w:val="10"/>
          <w:sz w:val="22"/>
        </w:rPr>
        <w:t> </w:t>
      </w:r>
      <w:r>
        <w:rPr>
          <w:sz w:val="22"/>
        </w:rPr>
        <w:t>which</w:t>
      </w:r>
      <w:r>
        <w:rPr>
          <w:spacing w:val="5"/>
          <w:sz w:val="22"/>
        </w:rPr>
        <w:t> </w:t>
      </w:r>
      <w:r>
        <w:rPr>
          <w:sz w:val="22"/>
        </w:rPr>
        <w:t>extended</w:t>
      </w:r>
      <w:r>
        <w:rPr>
          <w:spacing w:val="14"/>
          <w:sz w:val="22"/>
        </w:rPr>
        <w:t> </w:t>
      </w:r>
      <w:r>
        <w:rPr>
          <w:sz w:val="22"/>
        </w:rPr>
        <w:t>from</w:t>
      </w:r>
      <w:r>
        <w:rPr>
          <w:spacing w:val="10"/>
          <w:sz w:val="22"/>
        </w:rPr>
        <w:t> </w:t>
      </w:r>
      <w:r>
        <w:rPr>
          <w:sz w:val="22"/>
        </w:rPr>
        <w:t>a</w:t>
      </w:r>
      <w:r>
        <w:rPr>
          <w:spacing w:val="8"/>
          <w:sz w:val="22"/>
        </w:rPr>
        <w:t> </w:t>
      </w:r>
      <w:r>
        <w:rPr>
          <w:sz w:val="22"/>
        </w:rPr>
        <w:t>central</w:t>
      </w:r>
      <w:r>
        <w:rPr>
          <w:spacing w:val="1"/>
          <w:sz w:val="22"/>
        </w:rPr>
        <w:t> </w:t>
      </w:r>
      <w:r>
        <w:rPr>
          <w:sz w:val="22"/>
        </w:rPr>
        <w:t>5</w:t>
      </w:r>
      <w:r>
        <w:rPr>
          <w:spacing w:val="21"/>
          <w:sz w:val="22"/>
        </w:rPr>
        <w:t> </w:t>
      </w:r>
      <w:r>
        <w:rPr>
          <w:sz w:val="22"/>
        </w:rPr>
        <w:t>x</w:t>
      </w:r>
      <w:r>
        <w:rPr>
          <w:spacing w:val="4"/>
          <w:sz w:val="22"/>
        </w:rPr>
        <w:t> </w:t>
      </w:r>
      <w:r>
        <w:rPr>
          <w:sz w:val="22"/>
        </w:rPr>
        <w:t>5</w:t>
      </w:r>
      <w:r>
        <w:rPr>
          <w:spacing w:val="10"/>
          <w:sz w:val="22"/>
        </w:rPr>
        <w:t> </w:t>
      </w:r>
      <w:r>
        <w:rPr>
          <w:sz w:val="22"/>
        </w:rPr>
        <w:t>cm</w:t>
      </w:r>
      <w:r>
        <w:rPr>
          <w:spacing w:val="9"/>
          <w:sz w:val="22"/>
        </w:rPr>
        <w:t> </w:t>
      </w:r>
      <w:r>
        <w:rPr>
          <w:spacing w:val="-2"/>
          <w:sz w:val="22"/>
        </w:rPr>
        <w:t>platform.</w:t>
      </w:r>
    </w:p>
    <w:p>
      <w:pPr>
        <w:spacing w:after="0" w:line="489" w:lineRule="auto"/>
        <w:jc w:val="left"/>
        <w:rPr>
          <w:sz w:val="22"/>
        </w:rPr>
        <w:sectPr>
          <w:pgSz w:w="12240" w:h="15840"/>
          <w:pgMar w:header="0" w:footer="916" w:top="1320" w:bottom="1100" w:left="1720" w:right="960"/>
        </w:sectPr>
      </w:pPr>
    </w:p>
    <w:p>
      <w:pPr>
        <w:pStyle w:val="BodyText"/>
        <w:spacing w:line="491" w:lineRule="auto" w:before="75"/>
        <w:ind w:left="665" w:right="907"/>
        <w:jc w:val="both"/>
      </w:pPr>
      <w:r>
        <w:rPr/>
        <w:t>The plus maze was elevated 50 cm above the floor and the whole apparatus was painted black (Itoh </w:t>
      </w:r>
      <w:r>
        <w:rPr>
          <w:i/>
        </w:rPr>
        <w:t>et al</w:t>
      </w:r>
      <w:r>
        <w:rPr/>
        <w:t>., 1990).</w:t>
      </w:r>
    </w:p>
    <w:p>
      <w:pPr>
        <w:pStyle w:val="BodyText"/>
      </w:pPr>
    </w:p>
    <w:p>
      <w:pPr>
        <w:pStyle w:val="BodyText"/>
        <w:spacing w:before="12"/>
      </w:pPr>
    </w:p>
    <w:p>
      <w:pPr>
        <w:pStyle w:val="BodyText"/>
        <w:spacing w:line="491" w:lineRule="auto"/>
        <w:ind w:left="665" w:right="900"/>
        <w:jc w:val="both"/>
      </w:pPr>
      <w:r>
        <w:rPr/>
        <w:t>The experimental animals in Group II were exposed to CO. Immediately after exposure, each</w:t>
      </w:r>
      <w:r>
        <w:rPr>
          <w:spacing w:val="40"/>
        </w:rPr>
        <w:t> </w:t>
      </w:r>
      <w:r>
        <w:rPr/>
        <w:t>animal</w:t>
      </w:r>
      <w:r>
        <w:rPr>
          <w:spacing w:val="40"/>
        </w:rPr>
        <w:t> </w:t>
      </w:r>
      <w:r>
        <w:rPr/>
        <w:t>in</w:t>
      </w:r>
      <w:r>
        <w:rPr>
          <w:spacing w:val="40"/>
        </w:rPr>
        <w:t> </w:t>
      </w:r>
      <w:r>
        <w:rPr/>
        <w:t>the</w:t>
      </w:r>
      <w:r>
        <w:rPr>
          <w:spacing w:val="40"/>
        </w:rPr>
        <w:t> </w:t>
      </w:r>
      <w:r>
        <w:rPr/>
        <w:t>group</w:t>
      </w:r>
      <w:r>
        <w:rPr>
          <w:spacing w:val="40"/>
        </w:rPr>
        <w:t> </w:t>
      </w:r>
      <w:r>
        <w:rPr/>
        <w:t>underwent</w:t>
      </w:r>
      <w:r>
        <w:rPr>
          <w:spacing w:val="40"/>
        </w:rPr>
        <w:t> </w:t>
      </w:r>
      <w:r>
        <w:rPr/>
        <w:t>EPM</w:t>
      </w:r>
      <w:r>
        <w:rPr>
          <w:spacing w:val="40"/>
        </w:rPr>
        <w:t> </w:t>
      </w:r>
      <w:r>
        <w:rPr/>
        <w:t>test</w:t>
      </w:r>
      <w:r>
        <w:rPr>
          <w:spacing w:val="40"/>
        </w:rPr>
        <w:t> </w:t>
      </w:r>
      <w:r>
        <w:rPr/>
        <w:t>sequentially.</w:t>
      </w:r>
      <w:r>
        <w:rPr>
          <w:spacing w:val="40"/>
        </w:rPr>
        <w:t> </w:t>
      </w:r>
      <w:r>
        <w:rPr/>
        <w:t>After</w:t>
      </w:r>
      <w:r>
        <w:rPr>
          <w:spacing w:val="40"/>
        </w:rPr>
        <w:t> </w:t>
      </w:r>
      <w:r>
        <w:rPr/>
        <w:t>the</w:t>
      </w:r>
      <w:r>
        <w:rPr>
          <w:spacing w:val="40"/>
        </w:rPr>
        <w:t> </w:t>
      </w:r>
      <w:r>
        <w:rPr/>
        <w:t>experimental group had completed the test, the control group also underwent</w:t>
      </w:r>
      <w:r>
        <w:rPr>
          <w:spacing w:val="30"/>
        </w:rPr>
        <w:t> </w:t>
      </w:r>
      <w:r>
        <w:rPr/>
        <w:t>the same EPM test.</w:t>
      </w:r>
    </w:p>
    <w:p>
      <w:pPr>
        <w:pStyle w:val="BodyText"/>
      </w:pPr>
    </w:p>
    <w:p>
      <w:pPr>
        <w:pStyle w:val="BodyText"/>
        <w:spacing w:before="12"/>
      </w:pPr>
    </w:p>
    <w:p>
      <w:pPr>
        <w:pStyle w:val="BodyText"/>
        <w:spacing w:line="491" w:lineRule="auto"/>
        <w:ind w:left="665" w:right="894"/>
        <w:jc w:val="both"/>
      </w:pPr>
      <w:r>
        <w:rPr/>
        <w:t>The procedure for the test as described by Itoh </w:t>
      </w:r>
      <w:r>
        <w:rPr>
          <w:i/>
        </w:rPr>
        <w:t>et al</w:t>
      </w:r>
      <w:r>
        <w:rPr/>
        <w:t>. (1990) was used. On the first day (learning test) a mouse was placed at the end of one of the open arms, facing away from the</w:t>
      </w:r>
      <w:r>
        <w:rPr>
          <w:spacing w:val="40"/>
        </w:rPr>
        <w:t> </w:t>
      </w:r>
      <w:r>
        <w:rPr/>
        <w:t>central</w:t>
      </w:r>
      <w:r>
        <w:rPr>
          <w:spacing w:val="40"/>
        </w:rPr>
        <w:t> </w:t>
      </w:r>
      <w:r>
        <w:rPr/>
        <w:t>platform.</w:t>
      </w:r>
      <w:r>
        <w:rPr>
          <w:spacing w:val="40"/>
        </w:rPr>
        <w:t> </w:t>
      </w:r>
      <w:r>
        <w:rPr/>
        <w:t>Latency</w:t>
      </w:r>
      <w:r>
        <w:rPr>
          <w:spacing w:val="40"/>
        </w:rPr>
        <w:t> </w:t>
      </w:r>
      <w:r>
        <w:rPr/>
        <w:t>for</w:t>
      </w:r>
      <w:r>
        <w:rPr>
          <w:spacing w:val="40"/>
        </w:rPr>
        <w:t> </w:t>
      </w:r>
      <w:r>
        <w:rPr/>
        <w:t>the</w:t>
      </w:r>
      <w:r>
        <w:rPr>
          <w:spacing w:val="40"/>
        </w:rPr>
        <w:t> </w:t>
      </w:r>
      <w:r>
        <w:rPr/>
        <w:t>mouse</w:t>
      </w:r>
      <w:r>
        <w:rPr>
          <w:spacing w:val="40"/>
        </w:rPr>
        <w:t> </w:t>
      </w:r>
      <w:r>
        <w:rPr/>
        <w:t>to</w:t>
      </w:r>
      <w:r>
        <w:rPr>
          <w:spacing w:val="40"/>
        </w:rPr>
        <w:t> </w:t>
      </w:r>
      <w:r>
        <w:rPr/>
        <w:t>enter</w:t>
      </w:r>
      <w:r>
        <w:rPr>
          <w:spacing w:val="40"/>
        </w:rPr>
        <w:t> </w:t>
      </w:r>
      <w:r>
        <w:rPr/>
        <w:t>one</w:t>
      </w:r>
      <w:r>
        <w:rPr>
          <w:spacing w:val="40"/>
        </w:rPr>
        <w:t> </w:t>
      </w:r>
      <w:r>
        <w:rPr/>
        <w:t>of</w:t>
      </w:r>
      <w:r>
        <w:rPr>
          <w:spacing w:val="40"/>
        </w:rPr>
        <w:t> </w:t>
      </w:r>
      <w:r>
        <w:rPr/>
        <w:t>the</w:t>
      </w:r>
      <w:r>
        <w:rPr>
          <w:spacing w:val="40"/>
        </w:rPr>
        <w:t> </w:t>
      </w:r>
      <w:r>
        <w:rPr/>
        <w:t>closed</w:t>
      </w:r>
      <w:r>
        <w:rPr>
          <w:spacing w:val="40"/>
        </w:rPr>
        <w:t> </w:t>
      </w:r>
      <w:r>
        <w:rPr/>
        <w:t>arms</w:t>
      </w:r>
      <w:r>
        <w:rPr>
          <w:spacing w:val="40"/>
        </w:rPr>
        <w:t> </w:t>
      </w:r>
      <w:r>
        <w:rPr/>
        <w:t>was recorded</w:t>
      </w:r>
      <w:r>
        <w:rPr>
          <w:spacing w:val="40"/>
        </w:rPr>
        <w:t> </w:t>
      </w:r>
      <w:r>
        <w:rPr/>
        <w:t>in</w:t>
      </w:r>
      <w:r>
        <w:rPr>
          <w:spacing w:val="30"/>
        </w:rPr>
        <w:t> </w:t>
      </w:r>
      <w:r>
        <w:rPr/>
        <w:t>seconds.</w:t>
      </w:r>
      <w:r>
        <w:rPr>
          <w:spacing w:val="33"/>
        </w:rPr>
        <w:t> </w:t>
      </w:r>
      <w:r>
        <w:rPr/>
        <w:t>Following</w:t>
      </w:r>
      <w:r>
        <w:rPr>
          <w:spacing w:val="30"/>
        </w:rPr>
        <w:t> </w:t>
      </w:r>
      <w:r>
        <w:rPr/>
        <w:t>entry</w:t>
      </w:r>
      <w:r>
        <w:rPr>
          <w:spacing w:val="24"/>
        </w:rPr>
        <w:t> </w:t>
      </w:r>
      <w:r>
        <w:rPr/>
        <w:t>into</w:t>
      </w:r>
      <w:r>
        <w:rPr>
          <w:spacing w:val="40"/>
        </w:rPr>
        <w:t> </w:t>
      </w:r>
      <w:r>
        <w:rPr/>
        <w:t>the</w:t>
      </w:r>
      <w:r>
        <w:rPr>
          <w:spacing w:val="33"/>
        </w:rPr>
        <w:t> </w:t>
      </w:r>
      <w:r>
        <w:rPr/>
        <w:t>arm,</w:t>
      </w:r>
      <w:r>
        <w:rPr>
          <w:spacing w:val="33"/>
        </w:rPr>
        <w:t> </w:t>
      </w:r>
      <w:r>
        <w:rPr/>
        <w:t>the</w:t>
      </w:r>
      <w:r>
        <w:rPr>
          <w:spacing w:val="39"/>
        </w:rPr>
        <w:t> </w:t>
      </w:r>
      <w:r>
        <w:rPr/>
        <w:t>animal</w:t>
      </w:r>
      <w:r>
        <w:rPr>
          <w:spacing w:val="38"/>
        </w:rPr>
        <w:t> </w:t>
      </w:r>
      <w:r>
        <w:rPr/>
        <w:t>was</w:t>
      </w:r>
      <w:r>
        <w:rPr>
          <w:spacing w:val="31"/>
        </w:rPr>
        <w:t> </w:t>
      </w:r>
      <w:r>
        <w:rPr/>
        <w:t>allowed</w:t>
      </w:r>
      <w:r>
        <w:rPr>
          <w:spacing w:val="35"/>
        </w:rPr>
        <w:t> </w:t>
      </w:r>
      <w:r>
        <w:rPr/>
        <w:t>to</w:t>
      </w:r>
      <w:r>
        <w:rPr>
          <w:spacing w:val="40"/>
        </w:rPr>
        <w:t> </w:t>
      </w:r>
      <w:r>
        <w:rPr/>
        <w:t>explore the apparatus for 30 seconds. All the paws were required to be in the arm before being counted as an entry. Twenty four hours later, the second trial (retention test) was performed. Mice</w:t>
      </w:r>
      <w:r>
        <w:rPr>
          <w:spacing w:val="14"/>
        </w:rPr>
        <w:t> </w:t>
      </w:r>
      <w:r>
        <w:rPr/>
        <w:t>appear unwilling to</w:t>
      </w:r>
      <w:r>
        <w:rPr>
          <w:spacing w:val="21"/>
        </w:rPr>
        <w:t> </w:t>
      </w:r>
      <w:r>
        <w:rPr/>
        <w:t>venture</w:t>
      </w:r>
      <w:r>
        <w:rPr>
          <w:spacing w:val="14"/>
        </w:rPr>
        <w:t> </w:t>
      </w:r>
      <w:r>
        <w:rPr/>
        <w:t>onto</w:t>
      </w:r>
      <w:r>
        <w:rPr>
          <w:spacing w:val="17"/>
        </w:rPr>
        <w:t> </w:t>
      </w:r>
      <w:r>
        <w:rPr/>
        <w:t>the</w:t>
      </w:r>
      <w:r>
        <w:rPr>
          <w:spacing w:val="14"/>
        </w:rPr>
        <w:t> </w:t>
      </w:r>
      <w:r>
        <w:rPr/>
        <w:t>open arms</w:t>
      </w:r>
      <w:r>
        <w:rPr>
          <w:spacing w:val="18"/>
        </w:rPr>
        <w:t> </w:t>
      </w:r>
      <w:r>
        <w:rPr/>
        <w:t>of the</w:t>
      </w:r>
      <w:r>
        <w:rPr>
          <w:spacing w:val="14"/>
        </w:rPr>
        <w:t> </w:t>
      </w:r>
      <w:r>
        <w:rPr/>
        <w:t>maze</w:t>
      </w:r>
      <w:r>
        <w:rPr>
          <w:spacing w:val="14"/>
        </w:rPr>
        <w:t> </w:t>
      </w:r>
      <w:r>
        <w:rPr/>
        <w:t>because</w:t>
      </w:r>
      <w:r>
        <w:rPr>
          <w:spacing w:val="14"/>
        </w:rPr>
        <w:t> </w:t>
      </w:r>
      <w:r>
        <w:rPr/>
        <w:t>of a general aversion to open spaces and to the elevation of the maze; this induced learning responses in the animal (Lister, 1990). The experimental group was exposed to CO just before (30 min., 1 hour and 2 hours) the trials, while the control group was exposed to room air. After each trial, the plus maze was thoroughly cleansed with methylated spirit and allowed to dry before the next trial. The time taken for a mouse to move from the starting point of the open arm to</w:t>
      </w:r>
    </w:p>
    <w:p>
      <w:pPr>
        <w:spacing w:after="0" w:line="491" w:lineRule="auto"/>
        <w:jc w:val="both"/>
        <w:sectPr>
          <w:pgSz w:w="12240" w:h="15840"/>
          <w:pgMar w:header="0" w:footer="916" w:top="1260" w:bottom="1100" w:left="1720" w:right="960"/>
        </w:sectPr>
      </w:pPr>
    </w:p>
    <w:p>
      <w:pPr>
        <w:pStyle w:val="BodyText"/>
        <w:ind w:left="665"/>
        <w:rPr>
          <w:sz w:val="20"/>
        </w:rPr>
      </w:pPr>
      <w:r>
        <w:rPr>
          <w:sz w:val="20"/>
        </w:rPr>
        <w:drawing>
          <wp:inline distT="0" distB="0" distL="0" distR="0">
            <wp:extent cx="5170018" cy="3230118"/>
            <wp:effectExtent l="0" t="0" r="0" b="0"/>
            <wp:docPr id="10" name="Image 10"/>
            <wp:cNvGraphicFramePr>
              <a:graphicFrameLocks/>
            </wp:cNvGraphicFramePr>
            <a:graphic>
              <a:graphicData uri="http://schemas.openxmlformats.org/drawingml/2006/picture">
                <pic:pic>
                  <pic:nvPicPr>
                    <pic:cNvPr id="10" name="Image 10"/>
                    <pic:cNvPicPr/>
                  </pic:nvPicPr>
                  <pic:blipFill>
                    <a:blip r:embed="rId14" cstate="print"/>
                    <a:stretch>
                      <a:fillRect/>
                    </a:stretch>
                  </pic:blipFill>
                  <pic:spPr>
                    <a:xfrm>
                      <a:off x="0" y="0"/>
                      <a:ext cx="5170018" cy="3230118"/>
                    </a:xfrm>
                    <a:prstGeom prst="rect">
                      <a:avLst/>
                    </a:prstGeom>
                  </pic:spPr>
                </pic:pic>
              </a:graphicData>
            </a:graphic>
          </wp:inline>
        </w:drawing>
      </w:r>
      <w:r>
        <w:rPr>
          <w:sz w:val="20"/>
        </w:rPr>
      </w:r>
    </w:p>
    <w:p>
      <w:pPr>
        <w:pStyle w:val="BodyText"/>
        <w:spacing w:before="17"/>
      </w:pPr>
    </w:p>
    <w:p>
      <w:pPr>
        <w:pStyle w:val="Heading3"/>
        <w:spacing w:before="1"/>
      </w:pPr>
      <w:r>
        <w:rPr/>
        <w:t>Fig.</w:t>
      </w:r>
      <w:r>
        <w:rPr>
          <w:spacing w:val="5"/>
        </w:rPr>
        <w:t> </w:t>
      </w:r>
      <w:r>
        <w:rPr/>
        <w:t>3.5</w:t>
      </w:r>
      <w:r>
        <w:rPr>
          <w:spacing w:val="13"/>
        </w:rPr>
        <w:t> </w:t>
      </w:r>
      <w:r>
        <w:rPr/>
        <w:t>Elevated</w:t>
      </w:r>
      <w:r>
        <w:rPr>
          <w:spacing w:val="13"/>
        </w:rPr>
        <w:t> </w:t>
      </w:r>
      <w:r>
        <w:rPr/>
        <w:t>plus</w:t>
      </w:r>
      <w:r>
        <w:rPr>
          <w:spacing w:val="8"/>
        </w:rPr>
        <w:t> </w:t>
      </w:r>
      <w:r>
        <w:rPr>
          <w:spacing w:val="-4"/>
        </w:rPr>
        <w:t>maze</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66"/>
        <w:rPr>
          <w:b/>
        </w:rPr>
      </w:pPr>
    </w:p>
    <w:p>
      <w:pPr>
        <w:pStyle w:val="BodyText"/>
        <w:spacing w:line="491" w:lineRule="auto"/>
        <w:ind w:left="665" w:right="819"/>
      </w:pPr>
      <w:r>
        <w:rPr/>
        <w:t>any</w:t>
      </w:r>
      <w:r>
        <w:rPr>
          <w:spacing w:val="28"/>
        </w:rPr>
        <w:t> </w:t>
      </w:r>
      <w:r>
        <w:rPr/>
        <w:t>of</w:t>
      </w:r>
      <w:r>
        <w:rPr>
          <w:spacing w:val="32"/>
        </w:rPr>
        <w:t> </w:t>
      </w:r>
      <w:r>
        <w:rPr/>
        <w:t>the</w:t>
      </w:r>
      <w:r>
        <w:rPr>
          <w:spacing w:val="31"/>
        </w:rPr>
        <w:t> </w:t>
      </w:r>
      <w:r>
        <w:rPr/>
        <w:t>closed</w:t>
      </w:r>
      <w:r>
        <w:rPr>
          <w:spacing w:val="40"/>
        </w:rPr>
        <w:t> </w:t>
      </w:r>
      <w:r>
        <w:rPr/>
        <w:t>arms</w:t>
      </w:r>
      <w:r>
        <w:rPr>
          <w:spacing w:val="35"/>
        </w:rPr>
        <w:t> </w:t>
      </w:r>
      <w:r>
        <w:rPr/>
        <w:t>was</w:t>
      </w:r>
      <w:r>
        <w:rPr>
          <w:spacing w:val="36"/>
        </w:rPr>
        <w:t> </w:t>
      </w:r>
      <w:r>
        <w:rPr/>
        <w:t>measured</w:t>
      </w:r>
      <w:r>
        <w:rPr>
          <w:spacing w:val="38"/>
        </w:rPr>
        <w:t> </w:t>
      </w:r>
      <w:r>
        <w:rPr/>
        <w:t>(in</w:t>
      </w:r>
      <w:r>
        <w:rPr>
          <w:spacing w:val="28"/>
        </w:rPr>
        <w:t> </w:t>
      </w:r>
      <w:r>
        <w:rPr/>
        <w:t>seconds)</w:t>
      </w:r>
      <w:r>
        <w:rPr>
          <w:spacing w:val="32"/>
        </w:rPr>
        <w:t> </w:t>
      </w:r>
      <w:r>
        <w:rPr/>
        <w:t>to</w:t>
      </w:r>
      <w:r>
        <w:rPr>
          <w:spacing w:val="38"/>
        </w:rPr>
        <w:t> </w:t>
      </w:r>
      <w:r>
        <w:rPr/>
        <w:t>indicate</w:t>
      </w:r>
      <w:r>
        <w:rPr>
          <w:spacing w:val="37"/>
        </w:rPr>
        <w:t> </w:t>
      </w:r>
      <w:r>
        <w:rPr/>
        <w:t>learning</w:t>
      </w:r>
      <w:r>
        <w:rPr>
          <w:spacing w:val="34"/>
        </w:rPr>
        <w:t> </w:t>
      </w:r>
      <w:r>
        <w:rPr/>
        <w:t>(first</w:t>
      </w:r>
      <w:r>
        <w:rPr>
          <w:spacing w:val="36"/>
        </w:rPr>
        <w:t> </w:t>
      </w:r>
      <w:r>
        <w:rPr/>
        <w:t>day)</w:t>
      </w:r>
      <w:r>
        <w:rPr>
          <w:spacing w:val="38"/>
        </w:rPr>
        <w:t> </w:t>
      </w:r>
      <w:r>
        <w:rPr/>
        <w:t>and memory</w:t>
      </w:r>
      <w:r>
        <w:rPr>
          <w:spacing w:val="3"/>
        </w:rPr>
        <w:t> </w:t>
      </w:r>
      <w:r>
        <w:rPr/>
        <w:t>(second</w:t>
      </w:r>
      <w:r>
        <w:rPr>
          <w:spacing w:val="26"/>
        </w:rPr>
        <w:t> </w:t>
      </w:r>
      <w:r>
        <w:rPr/>
        <w:t>day)</w:t>
      </w:r>
      <w:r>
        <w:rPr>
          <w:spacing w:val="24"/>
        </w:rPr>
        <w:t> </w:t>
      </w:r>
      <w:r>
        <w:rPr/>
        <w:t>(Itoh</w:t>
      </w:r>
      <w:r>
        <w:rPr>
          <w:spacing w:val="16"/>
        </w:rPr>
        <w:t> </w:t>
      </w:r>
      <w:r>
        <w:rPr>
          <w:i/>
        </w:rPr>
        <w:t>et</w:t>
      </w:r>
      <w:r>
        <w:rPr>
          <w:i/>
          <w:spacing w:val="24"/>
        </w:rPr>
        <w:t> </w:t>
      </w:r>
      <w:r>
        <w:rPr>
          <w:i/>
        </w:rPr>
        <w:t>al.,</w:t>
      </w:r>
      <w:r>
        <w:rPr>
          <w:i/>
          <w:spacing w:val="18"/>
        </w:rPr>
        <w:t> </w:t>
      </w:r>
      <w:r>
        <w:rPr/>
        <w:t>1990).</w:t>
      </w:r>
      <w:r>
        <w:rPr>
          <w:spacing w:val="30"/>
        </w:rPr>
        <w:t> </w:t>
      </w:r>
      <w:r>
        <w:rPr/>
        <w:t>The</w:t>
      </w:r>
      <w:r>
        <w:rPr>
          <w:spacing w:val="24"/>
        </w:rPr>
        <w:t> </w:t>
      </w:r>
      <w:r>
        <w:rPr/>
        <w:t>hippocampus</w:t>
      </w:r>
      <w:r>
        <w:rPr>
          <w:spacing w:val="21"/>
        </w:rPr>
        <w:t> </w:t>
      </w:r>
      <w:r>
        <w:rPr/>
        <w:t>links</w:t>
      </w:r>
      <w:r>
        <w:rPr>
          <w:spacing w:val="16"/>
        </w:rPr>
        <w:t> </w:t>
      </w:r>
      <w:r>
        <w:rPr/>
        <w:t>the</w:t>
      </w:r>
      <w:r>
        <w:rPr>
          <w:spacing w:val="29"/>
        </w:rPr>
        <w:t> </w:t>
      </w:r>
      <w:r>
        <w:rPr/>
        <w:t>nervous</w:t>
      </w:r>
      <w:r>
        <w:rPr>
          <w:spacing w:val="21"/>
        </w:rPr>
        <w:t> </w:t>
      </w:r>
      <w:r>
        <w:rPr/>
        <w:t>system</w:t>
      </w:r>
      <w:r>
        <w:rPr>
          <w:spacing w:val="20"/>
        </w:rPr>
        <w:t> </w:t>
      </w:r>
      <w:r>
        <w:rPr>
          <w:spacing w:val="-5"/>
        </w:rPr>
        <w:t>to</w:t>
      </w:r>
    </w:p>
    <w:p>
      <w:pPr>
        <w:spacing w:after="0" w:line="491" w:lineRule="auto"/>
        <w:sectPr>
          <w:pgSz w:w="12240" w:h="15840"/>
          <w:pgMar w:header="0" w:footer="916" w:top="1320" w:bottom="1100" w:left="1720" w:right="960"/>
        </w:sectPr>
      </w:pPr>
    </w:p>
    <w:p>
      <w:pPr>
        <w:pStyle w:val="BodyText"/>
        <w:spacing w:line="491" w:lineRule="auto" w:before="75"/>
        <w:ind w:left="665" w:right="896"/>
        <w:jc w:val="both"/>
      </w:pPr>
      <w:r>
        <w:rPr/>
        <w:t>the</w:t>
      </w:r>
      <w:r>
        <w:rPr>
          <w:spacing w:val="40"/>
        </w:rPr>
        <w:t> </w:t>
      </w:r>
      <w:r>
        <w:rPr/>
        <w:t>endocrine</w:t>
      </w:r>
      <w:r>
        <w:rPr>
          <w:spacing w:val="40"/>
        </w:rPr>
        <w:t> </w:t>
      </w:r>
      <w:r>
        <w:rPr/>
        <w:t>system</w:t>
      </w:r>
      <w:r>
        <w:rPr>
          <w:spacing w:val="40"/>
        </w:rPr>
        <w:t> </w:t>
      </w:r>
      <w:r>
        <w:rPr/>
        <w:t>through</w:t>
      </w:r>
      <w:r>
        <w:rPr>
          <w:spacing w:val="40"/>
        </w:rPr>
        <w:t> </w:t>
      </w:r>
      <w:r>
        <w:rPr/>
        <w:t>neurohormones</w:t>
      </w:r>
      <w:r>
        <w:rPr>
          <w:spacing w:val="40"/>
        </w:rPr>
        <w:t> </w:t>
      </w:r>
      <w:r>
        <w:rPr/>
        <w:t>and</w:t>
      </w:r>
      <w:r>
        <w:rPr>
          <w:spacing w:val="40"/>
        </w:rPr>
        <w:t> </w:t>
      </w:r>
      <w:r>
        <w:rPr/>
        <w:t>is</w:t>
      </w:r>
      <w:r>
        <w:rPr>
          <w:spacing w:val="40"/>
        </w:rPr>
        <w:t> </w:t>
      </w:r>
      <w:r>
        <w:rPr/>
        <w:t>highly</w:t>
      </w:r>
      <w:r>
        <w:rPr>
          <w:spacing w:val="40"/>
        </w:rPr>
        <w:t> </w:t>
      </w:r>
      <w:r>
        <w:rPr/>
        <w:t>susceptible</w:t>
      </w:r>
      <w:r>
        <w:rPr>
          <w:spacing w:val="40"/>
        </w:rPr>
        <w:t> </w:t>
      </w:r>
      <w:r>
        <w:rPr/>
        <w:t>to</w:t>
      </w:r>
      <w:r>
        <w:rPr>
          <w:spacing w:val="40"/>
        </w:rPr>
        <w:t> </w:t>
      </w:r>
      <w:r>
        <w:rPr/>
        <w:t>hypoxic injury. Passive-avoidance task used in the EPM test is a hippocampal and amygdala- dependent test which evaluates long-term (24 hour) emotional memory (Holland </w:t>
      </w:r>
      <w:r>
        <w:rPr>
          <w:i/>
        </w:rPr>
        <w:t>et al.</w:t>
      </w:r>
      <w:r>
        <w:rPr/>
        <w:t>, 1999). Elevated plus maze test also has a spatial component since the animals should remember the configuration of the open and closed arms and should escape from the unsafe open arm on the second trial.</w:t>
      </w:r>
    </w:p>
    <w:p>
      <w:pPr>
        <w:pStyle w:val="BodyText"/>
      </w:pPr>
    </w:p>
    <w:p>
      <w:pPr>
        <w:pStyle w:val="BodyText"/>
        <w:spacing w:before="11"/>
      </w:pPr>
    </w:p>
    <w:p>
      <w:pPr>
        <w:pStyle w:val="BodyText"/>
        <w:spacing w:line="491" w:lineRule="auto"/>
        <w:ind w:left="665" w:right="897"/>
        <w:jc w:val="both"/>
      </w:pPr>
      <w:r>
        <w:rPr/>
        <w:t>On the first day</w:t>
      </w:r>
      <w:r>
        <w:rPr>
          <w:spacing w:val="-4"/>
        </w:rPr>
        <w:t> </w:t>
      </w:r>
      <w:r>
        <w:rPr/>
        <w:t>of the study, mouse placed on the open arm of the EPM was expected to quickly</w:t>
      </w:r>
      <w:r>
        <w:rPr>
          <w:spacing w:val="15"/>
        </w:rPr>
        <w:t> </w:t>
      </w:r>
      <w:r>
        <w:rPr/>
        <w:t>move</w:t>
      </w:r>
      <w:r>
        <w:rPr>
          <w:spacing w:val="29"/>
        </w:rPr>
        <w:t> </w:t>
      </w:r>
      <w:r>
        <w:rPr/>
        <w:t>towards</w:t>
      </w:r>
      <w:r>
        <w:rPr>
          <w:spacing w:val="26"/>
        </w:rPr>
        <w:t> </w:t>
      </w:r>
      <w:r>
        <w:rPr/>
        <w:t>and</w:t>
      </w:r>
      <w:r>
        <w:rPr>
          <w:spacing w:val="37"/>
        </w:rPr>
        <w:t> </w:t>
      </w:r>
      <w:r>
        <w:rPr/>
        <w:t>enter</w:t>
      </w:r>
      <w:r>
        <w:rPr>
          <w:spacing w:val="30"/>
        </w:rPr>
        <w:t> </w:t>
      </w:r>
      <w:r>
        <w:rPr/>
        <w:t>one</w:t>
      </w:r>
      <w:r>
        <w:rPr>
          <w:spacing w:val="29"/>
        </w:rPr>
        <w:t> </w:t>
      </w:r>
      <w:r>
        <w:rPr/>
        <w:t>of</w:t>
      </w:r>
      <w:r>
        <w:rPr>
          <w:spacing w:val="24"/>
        </w:rPr>
        <w:t> </w:t>
      </w:r>
      <w:r>
        <w:rPr/>
        <w:t>the</w:t>
      </w:r>
      <w:r>
        <w:rPr>
          <w:spacing w:val="29"/>
        </w:rPr>
        <w:t> </w:t>
      </w:r>
      <w:r>
        <w:rPr/>
        <w:t>closed</w:t>
      </w:r>
      <w:r>
        <w:rPr>
          <w:spacing w:val="31"/>
        </w:rPr>
        <w:t> </w:t>
      </w:r>
      <w:r>
        <w:rPr/>
        <w:t>arms</w:t>
      </w:r>
      <w:r>
        <w:rPr>
          <w:spacing w:val="26"/>
        </w:rPr>
        <w:t> </w:t>
      </w:r>
      <w:r>
        <w:rPr/>
        <w:t>because</w:t>
      </w:r>
      <w:r>
        <w:rPr>
          <w:spacing w:val="29"/>
        </w:rPr>
        <w:t> </w:t>
      </w:r>
      <w:r>
        <w:rPr/>
        <w:t>of</w:t>
      </w:r>
      <w:r>
        <w:rPr>
          <w:spacing w:val="24"/>
        </w:rPr>
        <w:t> </w:t>
      </w:r>
      <w:r>
        <w:rPr/>
        <w:t>its</w:t>
      </w:r>
      <w:r>
        <w:rPr>
          <w:spacing w:val="26"/>
        </w:rPr>
        <w:t> </w:t>
      </w:r>
      <w:r>
        <w:rPr/>
        <w:t>natural</w:t>
      </w:r>
      <w:r>
        <w:rPr>
          <w:spacing w:val="22"/>
        </w:rPr>
        <w:t> </w:t>
      </w:r>
      <w:r>
        <w:rPr/>
        <w:t>aversion to open space and height. Such behaviour served as the learning or acquisition test, in which the</w:t>
      </w:r>
      <w:r>
        <w:rPr>
          <w:spacing w:val="40"/>
        </w:rPr>
        <w:t> </w:t>
      </w:r>
      <w:r>
        <w:rPr/>
        <w:t>mouse</w:t>
      </w:r>
      <w:r>
        <w:rPr>
          <w:spacing w:val="40"/>
        </w:rPr>
        <w:t> </w:t>
      </w:r>
      <w:r>
        <w:rPr/>
        <w:t>should</w:t>
      </w:r>
      <w:r>
        <w:rPr>
          <w:spacing w:val="40"/>
        </w:rPr>
        <w:t> </w:t>
      </w:r>
      <w:r>
        <w:rPr/>
        <w:t>on re-exposure</w:t>
      </w:r>
      <w:r>
        <w:rPr>
          <w:spacing w:val="40"/>
        </w:rPr>
        <w:t> </w:t>
      </w:r>
      <w:r>
        <w:rPr/>
        <w:t>(after</w:t>
      </w:r>
      <w:r>
        <w:rPr>
          <w:spacing w:val="40"/>
        </w:rPr>
        <w:t> </w:t>
      </w:r>
      <w:r>
        <w:rPr/>
        <w:t>24</w:t>
      </w:r>
      <w:r>
        <w:rPr>
          <w:spacing w:val="40"/>
        </w:rPr>
        <w:t> </w:t>
      </w:r>
      <w:r>
        <w:rPr/>
        <w:t>hours) be able</w:t>
      </w:r>
      <w:r>
        <w:rPr>
          <w:spacing w:val="40"/>
        </w:rPr>
        <w:t> </w:t>
      </w:r>
      <w:r>
        <w:rPr/>
        <w:t>to</w:t>
      </w:r>
      <w:r>
        <w:rPr>
          <w:spacing w:val="40"/>
        </w:rPr>
        <w:t> </w:t>
      </w:r>
      <w:r>
        <w:rPr/>
        <w:t>remember</w:t>
      </w:r>
      <w:r>
        <w:rPr>
          <w:spacing w:val="40"/>
        </w:rPr>
        <w:t> </w:t>
      </w:r>
      <w:r>
        <w:rPr/>
        <w:t>that</w:t>
      </w:r>
      <w:r>
        <w:rPr>
          <w:spacing w:val="40"/>
        </w:rPr>
        <w:t> </w:t>
      </w:r>
      <w:r>
        <w:rPr/>
        <w:t>a closed arm of the EPM exists. The time taken by the animal to move from the open to a closed</w:t>
      </w:r>
      <w:r>
        <w:rPr>
          <w:spacing w:val="40"/>
        </w:rPr>
        <w:t> </w:t>
      </w:r>
      <w:r>
        <w:rPr/>
        <w:t>arm</w:t>
      </w:r>
      <w:r>
        <w:rPr>
          <w:spacing w:val="40"/>
        </w:rPr>
        <w:t> </w:t>
      </w:r>
      <w:r>
        <w:rPr/>
        <w:t>of</w:t>
      </w:r>
      <w:r>
        <w:rPr>
          <w:spacing w:val="40"/>
        </w:rPr>
        <w:t> </w:t>
      </w:r>
      <w:r>
        <w:rPr/>
        <w:t>the</w:t>
      </w:r>
      <w:r>
        <w:rPr>
          <w:spacing w:val="40"/>
        </w:rPr>
        <w:t> </w:t>
      </w:r>
      <w:r>
        <w:rPr/>
        <w:t>EPM</w:t>
      </w:r>
      <w:r>
        <w:rPr>
          <w:spacing w:val="40"/>
        </w:rPr>
        <w:t> </w:t>
      </w:r>
      <w:r>
        <w:rPr/>
        <w:t>was</w:t>
      </w:r>
      <w:r>
        <w:rPr>
          <w:spacing w:val="40"/>
        </w:rPr>
        <w:t> </w:t>
      </w:r>
      <w:r>
        <w:rPr/>
        <w:t>recorded</w:t>
      </w:r>
      <w:r>
        <w:rPr>
          <w:spacing w:val="40"/>
        </w:rPr>
        <w:t> </w:t>
      </w:r>
      <w:r>
        <w:rPr/>
        <w:t>as</w:t>
      </w:r>
      <w:r>
        <w:rPr>
          <w:spacing w:val="40"/>
        </w:rPr>
        <w:t> </w:t>
      </w:r>
      <w:r>
        <w:rPr/>
        <w:t>transfer</w:t>
      </w:r>
      <w:r>
        <w:rPr>
          <w:spacing w:val="40"/>
        </w:rPr>
        <w:t> </w:t>
      </w:r>
      <w:r>
        <w:rPr/>
        <w:t>latency and</w:t>
      </w:r>
      <w:r>
        <w:rPr>
          <w:spacing w:val="40"/>
        </w:rPr>
        <w:t> </w:t>
      </w:r>
      <w:r>
        <w:rPr/>
        <w:t>exemplifies</w:t>
      </w:r>
      <w:r>
        <w:rPr>
          <w:spacing w:val="40"/>
        </w:rPr>
        <w:t> </w:t>
      </w:r>
      <w:r>
        <w:rPr/>
        <w:t>learning (Reddy, 1997). The cognitive processing of spatial information took place when the</w:t>
      </w:r>
      <w:r>
        <w:rPr>
          <w:spacing w:val="40"/>
        </w:rPr>
        <w:t> </w:t>
      </w:r>
      <w:r>
        <w:rPr/>
        <w:t>animal</w:t>
      </w:r>
      <w:r>
        <w:rPr>
          <w:spacing w:val="29"/>
        </w:rPr>
        <w:t> </w:t>
      </w:r>
      <w:r>
        <w:rPr/>
        <w:t>navigated</w:t>
      </w:r>
      <w:r>
        <w:rPr>
          <w:spacing w:val="32"/>
        </w:rPr>
        <w:t> </w:t>
      </w:r>
      <w:r>
        <w:rPr/>
        <w:t>the</w:t>
      </w:r>
      <w:r>
        <w:rPr>
          <w:spacing w:val="30"/>
        </w:rPr>
        <w:t> </w:t>
      </w:r>
      <w:r>
        <w:rPr/>
        <w:t>maze</w:t>
      </w:r>
      <w:r>
        <w:rPr>
          <w:spacing w:val="30"/>
        </w:rPr>
        <w:t> </w:t>
      </w:r>
      <w:r>
        <w:rPr/>
        <w:t>during the</w:t>
      </w:r>
      <w:r>
        <w:rPr>
          <w:spacing w:val="36"/>
        </w:rPr>
        <w:t> </w:t>
      </w:r>
      <w:r>
        <w:rPr/>
        <w:t>first</w:t>
      </w:r>
      <w:r>
        <w:rPr>
          <w:spacing w:val="29"/>
        </w:rPr>
        <w:t> </w:t>
      </w:r>
      <w:r>
        <w:rPr/>
        <w:t>exposure.</w:t>
      </w:r>
      <w:r>
        <w:rPr>
          <w:spacing w:val="36"/>
        </w:rPr>
        <w:t> </w:t>
      </w:r>
      <w:r>
        <w:rPr/>
        <w:t>Re-exposure to</w:t>
      </w:r>
      <w:r>
        <w:rPr>
          <w:spacing w:val="32"/>
        </w:rPr>
        <w:t> </w:t>
      </w:r>
      <w:r>
        <w:rPr/>
        <w:t>the</w:t>
      </w:r>
      <w:r>
        <w:rPr>
          <w:spacing w:val="30"/>
        </w:rPr>
        <w:t> </w:t>
      </w:r>
      <w:r>
        <w:rPr/>
        <w:t>maze enabled the animal to recall places and things reflecting explicit memory.</w:t>
      </w:r>
    </w:p>
    <w:p>
      <w:pPr>
        <w:pStyle w:val="BodyText"/>
      </w:pPr>
    </w:p>
    <w:p>
      <w:pPr>
        <w:pStyle w:val="BodyText"/>
        <w:spacing w:before="20"/>
      </w:pPr>
    </w:p>
    <w:p>
      <w:pPr>
        <w:pStyle w:val="Heading3"/>
        <w:numPr>
          <w:ilvl w:val="3"/>
          <w:numId w:val="22"/>
        </w:numPr>
        <w:tabs>
          <w:tab w:pos="1343" w:val="left" w:leader="none"/>
        </w:tabs>
        <w:spacing w:line="240" w:lineRule="auto" w:before="1" w:after="0"/>
        <w:ind w:left="1343" w:right="0" w:hanging="678"/>
        <w:jc w:val="left"/>
      </w:pPr>
      <w:bookmarkStart w:name="_TOC_250022" w:id="35"/>
      <w:r>
        <w:rPr/>
        <w:t>Determination</w:t>
      </w:r>
      <w:r>
        <w:rPr>
          <w:spacing w:val="7"/>
        </w:rPr>
        <w:t> </w:t>
      </w:r>
      <w:r>
        <w:rPr/>
        <w:t>of</w:t>
      </w:r>
      <w:r>
        <w:rPr>
          <w:spacing w:val="16"/>
        </w:rPr>
        <w:t> </w:t>
      </w:r>
      <w:r>
        <w:rPr/>
        <w:t>blood</w:t>
      </w:r>
      <w:r>
        <w:rPr>
          <w:spacing w:val="19"/>
        </w:rPr>
        <w:t> </w:t>
      </w:r>
      <w:r>
        <w:rPr/>
        <w:t>Carboxyhaemoglobin</w:t>
      </w:r>
      <w:r>
        <w:rPr>
          <w:spacing w:val="13"/>
        </w:rPr>
        <w:t> </w:t>
      </w:r>
      <w:r>
        <w:rPr/>
        <w:t>level</w:t>
      </w:r>
      <w:r>
        <w:rPr>
          <w:spacing w:val="20"/>
        </w:rPr>
        <w:t> </w:t>
      </w:r>
      <w:r>
        <w:rPr/>
        <w:t>in</w:t>
      </w:r>
      <w:r>
        <w:rPr>
          <w:spacing w:val="7"/>
        </w:rPr>
        <w:t> </w:t>
      </w:r>
      <w:bookmarkEnd w:id="35"/>
      <w:r>
        <w:rPr>
          <w:spacing w:val="-2"/>
        </w:rPr>
        <w:t>animals</w:t>
      </w:r>
    </w:p>
    <w:p>
      <w:pPr>
        <w:pStyle w:val="BodyText"/>
        <w:spacing w:before="7"/>
        <w:rPr>
          <w:b/>
        </w:rPr>
      </w:pPr>
    </w:p>
    <w:p>
      <w:pPr>
        <w:pStyle w:val="BodyText"/>
        <w:spacing w:line="491" w:lineRule="auto"/>
        <w:ind w:left="665" w:right="897"/>
        <w:jc w:val="both"/>
      </w:pPr>
      <w:r>
        <w:rPr/>
        <w:t>At</w:t>
      </w:r>
      <w:r>
        <w:rPr>
          <w:spacing w:val="40"/>
        </w:rPr>
        <w:t> </w:t>
      </w:r>
      <w:r>
        <w:rPr/>
        <w:t>the</w:t>
      </w:r>
      <w:r>
        <w:rPr>
          <w:spacing w:val="40"/>
        </w:rPr>
        <w:t> </w:t>
      </w:r>
      <w:r>
        <w:rPr/>
        <w:t>end</w:t>
      </w:r>
      <w:r>
        <w:rPr>
          <w:spacing w:val="40"/>
        </w:rPr>
        <w:t> </w:t>
      </w:r>
      <w:r>
        <w:rPr/>
        <w:t>of</w:t>
      </w:r>
      <w:r>
        <w:rPr>
          <w:spacing w:val="40"/>
        </w:rPr>
        <w:t> </w:t>
      </w:r>
      <w:r>
        <w:rPr/>
        <w:t>the</w:t>
      </w:r>
      <w:r>
        <w:rPr>
          <w:spacing w:val="40"/>
        </w:rPr>
        <w:t> </w:t>
      </w:r>
      <w:r>
        <w:rPr/>
        <w:t>neurobehavioural</w:t>
      </w:r>
      <w:r>
        <w:rPr>
          <w:spacing w:val="40"/>
        </w:rPr>
        <w:t> </w:t>
      </w:r>
      <w:r>
        <w:rPr/>
        <w:t>tests,</w:t>
      </w:r>
      <w:r>
        <w:rPr>
          <w:spacing w:val="40"/>
        </w:rPr>
        <w:t> </w:t>
      </w:r>
      <w:r>
        <w:rPr/>
        <w:t>mice</w:t>
      </w:r>
      <w:r>
        <w:rPr>
          <w:spacing w:val="40"/>
        </w:rPr>
        <w:t> </w:t>
      </w:r>
      <w:r>
        <w:rPr/>
        <w:t>were</w:t>
      </w:r>
      <w:r>
        <w:rPr>
          <w:spacing w:val="40"/>
        </w:rPr>
        <w:t> </w:t>
      </w:r>
      <w:r>
        <w:rPr/>
        <w:t>sacrificed</w:t>
      </w:r>
      <w:r>
        <w:rPr>
          <w:spacing w:val="40"/>
        </w:rPr>
        <w:t> </w:t>
      </w:r>
      <w:r>
        <w:rPr/>
        <w:t>and</w:t>
      </w:r>
      <w:r>
        <w:rPr>
          <w:spacing w:val="40"/>
        </w:rPr>
        <w:t> </w:t>
      </w:r>
      <w:r>
        <w:rPr/>
        <w:t>blood</w:t>
      </w:r>
      <w:r>
        <w:rPr>
          <w:spacing w:val="40"/>
        </w:rPr>
        <w:t> </w:t>
      </w:r>
      <w:r>
        <w:rPr/>
        <w:t>sample obtained by cardiac puncture was used for COHb analysis by means of</w:t>
      </w:r>
      <w:r>
        <w:rPr>
          <w:spacing w:val="80"/>
        </w:rPr>
        <w:t> </w:t>
      </w:r>
      <w:r>
        <w:rPr/>
        <w:t>spectrophotometric method (Ernest and Carol, 1984). This method for estimating carboxyhaemoglobin was based on the production of two-pigment mixture by reducing oxyhaemoglobin and methaemoglobin with sodium hydrosulfite. Absorbances of the pigment</w:t>
      </w:r>
      <w:r>
        <w:rPr>
          <w:spacing w:val="21"/>
        </w:rPr>
        <w:t> </w:t>
      </w:r>
      <w:r>
        <w:rPr/>
        <w:t>were</w:t>
      </w:r>
      <w:r>
        <w:rPr>
          <w:spacing w:val="16"/>
        </w:rPr>
        <w:t> </w:t>
      </w:r>
      <w:r>
        <w:rPr/>
        <w:t>measured</w:t>
      </w:r>
      <w:r>
        <w:rPr>
          <w:spacing w:val="19"/>
        </w:rPr>
        <w:t> </w:t>
      </w:r>
      <w:r>
        <w:rPr/>
        <w:t>at</w:t>
      </w:r>
      <w:r>
        <w:rPr>
          <w:spacing w:val="15"/>
        </w:rPr>
        <w:t> </w:t>
      </w:r>
      <w:r>
        <w:rPr/>
        <w:t>420</w:t>
      </w:r>
      <w:r>
        <w:rPr>
          <w:spacing w:val="14"/>
        </w:rPr>
        <w:t> </w:t>
      </w:r>
      <w:r>
        <w:rPr/>
        <w:t>and</w:t>
      </w:r>
      <w:r>
        <w:rPr>
          <w:spacing w:val="12"/>
        </w:rPr>
        <w:t> </w:t>
      </w:r>
      <w:r>
        <w:rPr/>
        <w:t>432</w:t>
      </w:r>
      <w:r>
        <w:rPr>
          <w:spacing w:val="23"/>
        </w:rPr>
        <w:t> </w:t>
      </w:r>
      <w:r>
        <w:rPr/>
        <w:t>nm.</w:t>
      </w:r>
      <w:r>
        <w:rPr>
          <w:spacing w:val="12"/>
        </w:rPr>
        <w:t> </w:t>
      </w:r>
      <w:r>
        <w:rPr/>
        <w:t>Protecting</w:t>
      </w:r>
      <w:r>
        <w:rPr>
          <w:spacing w:val="8"/>
        </w:rPr>
        <w:t> </w:t>
      </w:r>
      <w:r>
        <w:rPr/>
        <w:t>the</w:t>
      </w:r>
      <w:r>
        <w:rPr>
          <w:spacing w:val="16"/>
        </w:rPr>
        <w:t> </w:t>
      </w:r>
      <w:r>
        <w:rPr/>
        <w:t>solutions</w:t>
      </w:r>
      <w:r>
        <w:rPr>
          <w:spacing w:val="14"/>
        </w:rPr>
        <w:t> </w:t>
      </w:r>
      <w:r>
        <w:rPr/>
        <w:t>against</w:t>
      </w:r>
      <w:r>
        <w:rPr>
          <w:spacing w:val="16"/>
        </w:rPr>
        <w:t> </w:t>
      </w:r>
      <w:r>
        <w:rPr/>
        <w:t>exposure</w:t>
      </w:r>
      <w:r>
        <w:rPr>
          <w:spacing w:val="16"/>
        </w:rPr>
        <w:t> </w:t>
      </w:r>
      <w:r>
        <w:rPr>
          <w:spacing w:val="-5"/>
        </w:rPr>
        <w:t>to</w:t>
      </w:r>
    </w:p>
    <w:p>
      <w:pPr>
        <w:spacing w:after="0" w:line="491" w:lineRule="auto"/>
        <w:jc w:val="both"/>
        <w:sectPr>
          <w:pgSz w:w="12240" w:h="15840"/>
          <w:pgMar w:header="0" w:footer="916" w:top="1260" w:bottom="1100" w:left="1720" w:right="960"/>
        </w:sectPr>
      </w:pPr>
    </w:p>
    <w:p>
      <w:pPr>
        <w:pStyle w:val="BodyText"/>
        <w:spacing w:line="491" w:lineRule="auto" w:before="75"/>
        <w:ind w:left="665" w:right="903"/>
        <w:jc w:val="both"/>
      </w:pPr>
      <w:r>
        <w:rPr/>
        <w:t>air was unnecessary.</w:t>
      </w:r>
      <w:r>
        <w:rPr>
          <w:spacing w:val="27"/>
        </w:rPr>
        <w:t> </w:t>
      </w:r>
      <w:r>
        <w:rPr/>
        <w:t>Values are stable and</w:t>
      </w:r>
      <w:r>
        <w:rPr>
          <w:spacing w:val="25"/>
        </w:rPr>
        <w:t> </w:t>
      </w:r>
      <w:r>
        <w:rPr/>
        <w:t>reproducible when the solutions are buffered</w:t>
      </w:r>
      <w:r>
        <w:rPr>
          <w:spacing w:val="40"/>
        </w:rPr>
        <w:t> </w:t>
      </w:r>
      <w:r>
        <w:rPr/>
        <w:t>at pH of 6.85.</w:t>
      </w:r>
    </w:p>
    <w:p>
      <w:pPr>
        <w:pStyle w:val="BodyText"/>
      </w:pPr>
    </w:p>
    <w:p>
      <w:pPr>
        <w:pStyle w:val="BodyText"/>
        <w:spacing w:before="12"/>
      </w:pPr>
    </w:p>
    <w:p>
      <w:pPr>
        <w:pStyle w:val="BodyText"/>
        <w:spacing w:line="491" w:lineRule="auto"/>
        <w:ind w:left="665" w:right="888"/>
        <w:jc w:val="both"/>
      </w:pPr>
      <w:r>
        <w:rPr/>
        <w:t>Materials</w:t>
      </w:r>
      <w:r>
        <w:rPr>
          <w:spacing w:val="40"/>
        </w:rPr>
        <w:t> </w:t>
      </w:r>
      <w:r>
        <w:rPr/>
        <w:t>required</w:t>
      </w:r>
      <w:r>
        <w:rPr>
          <w:spacing w:val="40"/>
        </w:rPr>
        <w:t> </w:t>
      </w:r>
      <w:r>
        <w:rPr/>
        <w:t>for</w:t>
      </w:r>
      <w:r>
        <w:rPr>
          <w:spacing w:val="40"/>
        </w:rPr>
        <w:t> </w:t>
      </w:r>
      <w:r>
        <w:rPr/>
        <w:t>this</w:t>
      </w:r>
      <w:r>
        <w:rPr>
          <w:spacing w:val="40"/>
        </w:rPr>
        <w:t> </w:t>
      </w:r>
      <w:r>
        <w:rPr/>
        <w:t>analysis</w:t>
      </w:r>
      <w:r>
        <w:rPr>
          <w:spacing w:val="40"/>
        </w:rPr>
        <w:t> </w:t>
      </w:r>
      <w:r>
        <w:rPr/>
        <w:t>included</w:t>
      </w:r>
      <w:r>
        <w:rPr>
          <w:spacing w:val="40"/>
        </w:rPr>
        <w:t> </w:t>
      </w:r>
      <w:r>
        <w:rPr/>
        <w:t>(1)</w:t>
      </w:r>
      <w:r>
        <w:rPr>
          <w:spacing w:val="38"/>
        </w:rPr>
        <w:t> </w:t>
      </w:r>
      <w:r>
        <w:rPr>
          <w:i/>
        </w:rPr>
        <w:t>Buffer</w:t>
      </w:r>
      <w:r>
        <w:rPr/>
        <w:t>:</w:t>
      </w:r>
      <w:r>
        <w:rPr>
          <w:spacing w:val="40"/>
        </w:rPr>
        <w:t> </w:t>
      </w:r>
      <w:r>
        <w:rPr/>
        <w:t>KH</w:t>
      </w:r>
      <w:r>
        <w:rPr>
          <w:vertAlign w:val="subscript"/>
        </w:rPr>
        <w:t>2</w:t>
      </w:r>
      <w:r>
        <w:rPr>
          <w:vertAlign w:val="baseline"/>
        </w:rPr>
        <w:t>PO</w:t>
      </w:r>
      <w:r>
        <w:rPr>
          <w:vertAlign w:val="subscript"/>
        </w:rPr>
        <w:t>4</w:t>
      </w:r>
      <w:r>
        <w:rPr>
          <w:vertAlign w:val="baseline"/>
        </w:rPr>
        <w:t>/K</w:t>
      </w:r>
      <w:r>
        <w:rPr>
          <w:vertAlign w:val="subscript"/>
        </w:rPr>
        <w:t>2</w:t>
      </w:r>
      <w:r>
        <w:rPr>
          <w:vertAlign w:val="baseline"/>
        </w:rPr>
        <w:t>HPO</w:t>
      </w:r>
      <w:r>
        <w:rPr>
          <w:vertAlign w:val="subscript"/>
        </w:rPr>
        <w:t>4</w:t>
      </w:r>
      <w:r>
        <w:rPr>
          <w:vertAlign w:val="baseline"/>
        </w:rPr>
        <w:t>,</w:t>
      </w:r>
      <w:r>
        <w:rPr>
          <w:spacing w:val="40"/>
          <w:vertAlign w:val="baseline"/>
        </w:rPr>
        <w:t> </w:t>
      </w:r>
      <w:r>
        <w:rPr>
          <w:vertAlign w:val="baseline"/>
        </w:rPr>
        <w:t>0.1</w:t>
      </w:r>
      <w:r>
        <w:rPr>
          <w:spacing w:val="40"/>
          <w:vertAlign w:val="baseline"/>
        </w:rPr>
        <w:t> </w:t>
      </w:r>
      <w:r>
        <w:rPr>
          <w:vertAlign w:val="baseline"/>
        </w:rPr>
        <w:t>mol/L, pH 6.85. The buffer was stable indefinitely when kept refrigerated (2) </w:t>
      </w:r>
      <w:r>
        <w:rPr>
          <w:i/>
          <w:vertAlign w:val="baseline"/>
        </w:rPr>
        <w:t>Hemolyzing solution</w:t>
      </w:r>
      <w:r>
        <w:rPr>
          <w:vertAlign w:val="baseline"/>
        </w:rPr>
        <w:t>: Buffer diluted 10-fold with water, (3) </w:t>
      </w:r>
      <w:r>
        <w:rPr>
          <w:i/>
          <w:vertAlign w:val="baseline"/>
        </w:rPr>
        <w:t>CO-Hb diluting solution</w:t>
      </w:r>
      <w:r>
        <w:rPr>
          <w:vertAlign w:val="baseline"/>
        </w:rPr>
        <w:t>: prepared by adding about 25</w:t>
      </w:r>
      <w:r>
        <w:rPr>
          <w:spacing w:val="34"/>
          <w:vertAlign w:val="baseline"/>
        </w:rPr>
        <w:t> </w:t>
      </w:r>
      <w:r>
        <w:rPr>
          <w:vertAlign w:val="baseline"/>
        </w:rPr>
        <w:t>mg of sodium</w:t>
      </w:r>
      <w:r>
        <w:rPr>
          <w:spacing w:val="28"/>
          <w:vertAlign w:val="baseline"/>
        </w:rPr>
        <w:t> </w:t>
      </w:r>
      <w:r>
        <w:rPr>
          <w:vertAlign w:val="baseline"/>
        </w:rPr>
        <w:t>hydrosulfide to 20</w:t>
      </w:r>
      <w:r>
        <w:rPr>
          <w:spacing w:val="28"/>
          <w:vertAlign w:val="baseline"/>
        </w:rPr>
        <w:t> </w:t>
      </w:r>
      <w:r>
        <w:rPr>
          <w:vertAlign w:val="baseline"/>
        </w:rPr>
        <w:t>mL of buffer just before used.</w:t>
      </w:r>
    </w:p>
    <w:p>
      <w:pPr>
        <w:pStyle w:val="BodyText"/>
      </w:pPr>
    </w:p>
    <w:p>
      <w:pPr>
        <w:pStyle w:val="BodyText"/>
        <w:spacing w:before="12"/>
      </w:pPr>
    </w:p>
    <w:p>
      <w:pPr>
        <w:pStyle w:val="BodyText"/>
        <w:spacing w:line="491" w:lineRule="auto"/>
        <w:ind w:left="665" w:right="896"/>
        <w:jc w:val="both"/>
      </w:pPr>
      <w:r>
        <w:rPr/>
        <w:t>Blood samples from the sacrificed animals were collected in test tubes containing</w:t>
      </w:r>
      <w:r>
        <w:rPr>
          <w:spacing w:val="80"/>
        </w:rPr>
        <w:t> </w:t>
      </w:r>
      <w:r>
        <w:rPr/>
        <w:t>ethylene diaminetetraacetic acid</w:t>
      </w:r>
      <w:r>
        <w:rPr>
          <w:spacing w:val="29"/>
        </w:rPr>
        <w:t> </w:t>
      </w:r>
      <w:r>
        <w:rPr/>
        <w:t>(EDTA, potassium salt) of 1.5</w:t>
      </w:r>
      <w:r>
        <w:rPr>
          <w:spacing w:val="29"/>
        </w:rPr>
        <w:t> </w:t>
      </w:r>
      <w:r>
        <w:rPr/>
        <w:t>mg/mL of blood. About 25 µL of blood was added to 3 mL of the hemolyzing solution in a small test tube and mixed</w:t>
      </w:r>
      <w:r>
        <w:rPr>
          <w:spacing w:val="40"/>
        </w:rPr>
        <w:t> </w:t>
      </w:r>
      <w:r>
        <w:rPr/>
        <w:t>by inverting</w:t>
      </w:r>
      <w:r>
        <w:rPr>
          <w:spacing w:val="33"/>
        </w:rPr>
        <w:t> </w:t>
      </w:r>
      <w:r>
        <w:rPr/>
        <w:t>two</w:t>
      </w:r>
      <w:r>
        <w:rPr>
          <w:spacing w:val="33"/>
        </w:rPr>
        <w:t> </w:t>
      </w:r>
      <w:r>
        <w:rPr/>
        <w:t>or</w:t>
      </w:r>
      <w:r>
        <w:rPr>
          <w:spacing w:val="32"/>
        </w:rPr>
        <w:t> </w:t>
      </w:r>
      <w:r>
        <w:rPr/>
        <w:t>three</w:t>
      </w:r>
      <w:r>
        <w:rPr>
          <w:spacing w:val="36"/>
        </w:rPr>
        <w:t> </w:t>
      </w:r>
      <w:r>
        <w:rPr/>
        <w:t>times.</w:t>
      </w:r>
      <w:r>
        <w:rPr>
          <w:spacing w:val="36"/>
        </w:rPr>
        <w:t> </w:t>
      </w:r>
      <w:r>
        <w:rPr/>
        <w:t>After</w:t>
      </w:r>
      <w:r>
        <w:rPr>
          <w:spacing w:val="38"/>
        </w:rPr>
        <w:t> </w:t>
      </w:r>
      <w:r>
        <w:rPr/>
        <w:t>5</w:t>
      </w:r>
      <w:r>
        <w:rPr>
          <w:spacing w:val="38"/>
        </w:rPr>
        <w:t> </w:t>
      </w:r>
      <w:r>
        <w:rPr/>
        <w:t>minutes,</w:t>
      </w:r>
      <w:r>
        <w:rPr>
          <w:spacing w:val="36"/>
        </w:rPr>
        <w:t> </w:t>
      </w:r>
      <w:r>
        <w:rPr/>
        <w:t>about 0.1</w:t>
      </w:r>
      <w:r>
        <w:rPr>
          <w:spacing w:val="33"/>
        </w:rPr>
        <w:t> </w:t>
      </w:r>
      <w:r>
        <w:rPr/>
        <w:t>mL</w:t>
      </w:r>
      <w:r>
        <w:rPr>
          <w:spacing w:val="26"/>
        </w:rPr>
        <w:t> </w:t>
      </w:r>
      <w:r>
        <w:rPr/>
        <w:t>of</w:t>
      </w:r>
      <w:r>
        <w:rPr>
          <w:spacing w:val="32"/>
        </w:rPr>
        <w:t> </w:t>
      </w:r>
      <w:r>
        <w:rPr/>
        <w:t>this</w:t>
      </w:r>
      <w:r>
        <w:rPr>
          <w:spacing w:val="34"/>
        </w:rPr>
        <w:t> </w:t>
      </w:r>
      <w:r>
        <w:rPr/>
        <w:t>mixture was pipetted into a cuvette having a critical volume of less than 1.2 mL, which already contained 1.15 mL of the CO-Hb diluting solution. Alternatively, 0.2 mL of the haemolysate was added to 2.3 mL of the CO-Hb diluting solution in a larger cuvette having a critical volume of less than 2.5</w:t>
      </w:r>
      <w:r>
        <w:rPr>
          <w:spacing w:val="23"/>
        </w:rPr>
        <w:t> </w:t>
      </w:r>
      <w:r>
        <w:rPr/>
        <w:t>mL. Cuvette was covered with Parafilm, mixed</w:t>
      </w:r>
      <w:r>
        <w:rPr>
          <w:spacing w:val="40"/>
        </w:rPr>
        <w:t> </w:t>
      </w:r>
      <w:r>
        <w:rPr/>
        <w:t>by inverting gently several times, and allowed to stand at room temperature for 10 minutes. The absorbance was read at 420 and 432 nm against a matched cuvette</w:t>
      </w:r>
      <w:r>
        <w:rPr>
          <w:spacing w:val="40"/>
        </w:rPr>
        <w:t> </w:t>
      </w:r>
      <w:r>
        <w:rPr/>
        <w:t>containing only CO-Hb</w:t>
      </w:r>
      <w:r>
        <w:rPr>
          <w:spacing w:val="35"/>
        </w:rPr>
        <w:t> </w:t>
      </w:r>
      <w:r>
        <w:rPr/>
        <w:t>diluting solution. The following equation was used</w:t>
      </w:r>
      <w:r>
        <w:rPr>
          <w:spacing w:val="35"/>
        </w:rPr>
        <w:t> </w:t>
      </w:r>
      <w:r>
        <w:rPr/>
        <w:t>to compute the fraction of CO-Hb (S</w:t>
      </w:r>
      <w:r>
        <w:rPr>
          <w:vertAlign w:val="subscript"/>
        </w:rPr>
        <w:t>co</w:t>
      </w:r>
      <w:r>
        <w:rPr>
          <w:vertAlign w:val="baseline"/>
        </w:rPr>
        <w:t>) in blood.</w:t>
      </w:r>
    </w:p>
    <w:p>
      <w:pPr>
        <w:pStyle w:val="BodyText"/>
      </w:pPr>
    </w:p>
    <w:p>
      <w:pPr>
        <w:pStyle w:val="BodyText"/>
      </w:pPr>
    </w:p>
    <w:p>
      <w:pPr>
        <w:pStyle w:val="BodyText"/>
      </w:pPr>
    </w:p>
    <w:p>
      <w:pPr>
        <w:pStyle w:val="BodyText"/>
        <w:spacing w:before="32"/>
      </w:pPr>
    </w:p>
    <w:p>
      <w:pPr>
        <w:pStyle w:val="BodyText"/>
        <w:ind w:left="665"/>
        <w:jc w:val="both"/>
      </w:pPr>
      <w:r>
        <w:rPr>
          <w:w w:val="105"/>
        </w:rPr>
        <w:t>S</w:t>
      </w:r>
      <w:r>
        <w:rPr>
          <w:w w:val="105"/>
          <w:vertAlign w:val="subscript"/>
        </w:rPr>
        <w:t>co</w:t>
      </w:r>
      <w:r>
        <w:rPr>
          <w:spacing w:val="50"/>
          <w:w w:val="105"/>
          <w:vertAlign w:val="baseline"/>
        </w:rPr>
        <w:t>  </w:t>
      </w:r>
      <w:r>
        <w:rPr>
          <w:w w:val="105"/>
          <w:vertAlign w:val="baseline"/>
        </w:rPr>
        <w:t>=</w:t>
      </w:r>
      <w:r>
        <w:rPr>
          <w:spacing w:val="78"/>
          <w:w w:val="105"/>
          <w:vertAlign w:val="baseline"/>
        </w:rPr>
        <w:t>  </w:t>
      </w:r>
      <w:r>
        <w:rPr>
          <w:w w:val="105"/>
          <w:u w:val="single"/>
          <w:vertAlign w:val="baseline"/>
        </w:rPr>
        <w:t>1</w:t>
      </w:r>
      <w:r>
        <w:rPr>
          <w:spacing w:val="-4"/>
          <w:w w:val="105"/>
          <w:u w:val="single"/>
          <w:vertAlign w:val="baseline"/>
        </w:rPr>
        <w:t> </w:t>
      </w:r>
      <w:r>
        <w:rPr>
          <w:w w:val="105"/>
          <w:u w:val="single"/>
          <w:vertAlign w:val="baseline"/>
        </w:rPr>
        <w:t>–</w:t>
      </w:r>
      <w:r>
        <w:rPr>
          <w:spacing w:val="5"/>
          <w:w w:val="105"/>
          <w:u w:val="single"/>
          <w:vertAlign w:val="baseline"/>
        </w:rPr>
        <w:t> </w:t>
      </w:r>
      <w:r>
        <w:rPr>
          <w:w w:val="105"/>
          <w:u w:val="single"/>
          <w:vertAlign w:val="baseline"/>
        </w:rPr>
        <w:t>(A</w:t>
      </w:r>
      <w:r>
        <w:rPr>
          <w:w w:val="105"/>
          <w:u w:val="single"/>
          <w:vertAlign w:val="subscript"/>
        </w:rPr>
        <w:t>R</w:t>
      </w:r>
      <w:r>
        <w:rPr>
          <w:spacing w:val="-5"/>
          <w:w w:val="105"/>
          <w:u w:val="single"/>
          <w:vertAlign w:val="baseline"/>
        </w:rPr>
        <w:t> </w:t>
      </w:r>
      <w:r>
        <w:rPr>
          <w:w w:val="105"/>
          <w:u w:val="single"/>
          <w:vertAlign w:val="baseline"/>
        </w:rPr>
        <w:t>x</w:t>
      </w:r>
      <w:r>
        <w:rPr>
          <w:spacing w:val="-5"/>
          <w:w w:val="105"/>
          <w:u w:val="single"/>
          <w:vertAlign w:val="baseline"/>
        </w:rPr>
        <w:t> F</w:t>
      </w:r>
      <w:r>
        <w:rPr>
          <w:spacing w:val="-5"/>
          <w:w w:val="105"/>
          <w:u w:val="single"/>
          <w:vertAlign w:val="subscript"/>
        </w:rPr>
        <w:t>1</w:t>
      </w:r>
      <w:r>
        <w:rPr>
          <w:spacing w:val="-5"/>
          <w:w w:val="105"/>
          <w:u w:val="single"/>
          <w:vertAlign w:val="baseline"/>
        </w:rPr>
        <w:t>)</w:t>
      </w:r>
    </w:p>
    <w:p>
      <w:pPr>
        <w:pStyle w:val="BodyText"/>
        <w:spacing w:before="12"/>
      </w:pPr>
    </w:p>
    <w:p>
      <w:pPr>
        <w:pStyle w:val="BodyText"/>
        <w:ind w:left="1625"/>
      </w:pPr>
      <w:r>
        <w:rPr>
          <w:w w:val="105"/>
        </w:rPr>
        <w:t>A</w:t>
      </w:r>
      <w:r>
        <w:rPr>
          <w:w w:val="105"/>
          <w:vertAlign w:val="subscript"/>
        </w:rPr>
        <w:t>R</w:t>
      </w:r>
      <w:r>
        <w:rPr>
          <w:spacing w:val="-3"/>
          <w:w w:val="105"/>
          <w:vertAlign w:val="baseline"/>
        </w:rPr>
        <w:t> </w:t>
      </w:r>
      <w:r>
        <w:rPr>
          <w:w w:val="105"/>
          <w:vertAlign w:val="baseline"/>
        </w:rPr>
        <w:t>(F</w:t>
      </w:r>
      <w:r>
        <w:rPr>
          <w:w w:val="105"/>
          <w:vertAlign w:val="subscript"/>
        </w:rPr>
        <w:t>2</w:t>
      </w:r>
      <w:r>
        <w:rPr>
          <w:spacing w:val="-6"/>
          <w:w w:val="105"/>
          <w:vertAlign w:val="baseline"/>
        </w:rPr>
        <w:t> </w:t>
      </w:r>
      <w:r>
        <w:rPr>
          <w:w w:val="105"/>
          <w:vertAlign w:val="baseline"/>
        </w:rPr>
        <w:t>–</w:t>
      </w:r>
      <w:r>
        <w:rPr>
          <w:spacing w:val="-7"/>
          <w:w w:val="105"/>
          <w:vertAlign w:val="baseline"/>
        </w:rPr>
        <w:t> </w:t>
      </w:r>
      <w:r>
        <w:rPr>
          <w:w w:val="105"/>
          <w:vertAlign w:val="baseline"/>
        </w:rPr>
        <w:t>F</w:t>
      </w:r>
      <w:r>
        <w:rPr>
          <w:w w:val="105"/>
          <w:vertAlign w:val="subscript"/>
        </w:rPr>
        <w:t>1</w:t>
      </w:r>
      <w:r>
        <w:rPr>
          <w:w w:val="105"/>
          <w:vertAlign w:val="baseline"/>
        </w:rPr>
        <w:t>)</w:t>
      </w:r>
      <w:r>
        <w:rPr>
          <w:spacing w:val="-12"/>
          <w:w w:val="105"/>
          <w:vertAlign w:val="baseline"/>
        </w:rPr>
        <w:t> </w:t>
      </w:r>
      <w:r>
        <w:rPr>
          <w:w w:val="105"/>
          <w:vertAlign w:val="baseline"/>
        </w:rPr>
        <w:t>–</w:t>
      </w:r>
      <w:r>
        <w:rPr>
          <w:spacing w:val="-2"/>
          <w:w w:val="105"/>
          <w:vertAlign w:val="baseline"/>
        </w:rPr>
        <w:t> </w:t>
      </w:r>
      <w:r>
        <w:rPr>
          <w:w w:val="105"/>
          <w:vertAlign w:val="baseline"/>
        </w:rPr>
        <w:t>F</w:t>
      </w:r>
      <w:r>
        <w:rPr>
          <w:w w:val="105"/>
          <w:vertAlign w:val="subscript"/>
        </w:rPr>
        <w:t>3</w:t>
      </w:r>
      <w:r>
        <w:rPr>
          <w:spacing w:val="-6"/>
          <w:w w:val="105"/>
          <w:vertAlign w:val="baseline"/>
        </w:rPr>
        <w:t> </w:t>
      </w:r>
      <w:r>
        <w:rPr>
          <w:w w:val="105"/>
          <w:vertAlign w:val="baseline"/>
        </w:rPr>
        <w:t>+</w:t>
      </w:r>
      <w:r>
        <w:rPr>
          <w:spacing w:val="-6"/>
          <w:w w:val="105"/>
          <w:vertAlign w:val="baseline"/>
        </w:rPr>
        <w:t> </w:t>
      </w:r>
      <w:r>
        <w:rPr>
          <w:spacing w:val="-10"/>
          <w:w w:val="105"/>
          <w:vertAlign w:val="baseline"/>
        </w:rPr>
        <w:t>1</w:t>
      </w:r>
    </w:p>
    <w:p>
      <w:pPr>
        <w:spacing w:after="0"/>
        <w:sectPr>
          <w:pgSz w:w="12240" w:h="15840"/>
          <w:pgMar w:header="0" w:footer="916" w:top="1260" w:bottom="1100" w:left="1720" w:right="960"/>
        </w:sectPr>
      </w:pPr>
    </w:p>
    <w:p>
      <w:pPr>
        <w:pStyle w:val="BodyText"/>
        <w:spacing w:line="491" w:lineRule="auto" w:before="75"/>
        <w:ind w:left="665" w:right="901"/>
        <w:jc w:val="both"/>
      </w:pPr>
      <w:r>
        <w:rPr/>
        <w:t>A</w:t>
      </w:r>
      <w:r>
        <w:rPr>
          <w:vertAlign w:val="subscript"/>
        </w:rPr>
        <w:t>R</w:t>
      </w:r>
      <w:r>
        <w:rPr>
          <w:spacing w:val="22"/>
          <w:vertAlign w:val="baseline"/>
        </w:rPr>
        <w:t> </w:t>
      </w:r>
      <w:r>
        <w:rPr>
          <w:vertAlign w:val="baseline"/>
        </w:rPr>
        <w:t>is the ratio</w:t>
      </w:r>
      <w:r>
        <w:rPr>
          <w:spacing w:val="29"/>
          <w:vertAlign w:val="baseline"/>
        </w:rPr>
        <w:t> </w:t>
      </w:r>
      <w:r>
        <w:rPr>
          <w:i/>
          <w:vertAlign w:val="baseline"/>
        </w:rPr>
        <w:t>A</w:t>
      </w:r>
      <w:r>
        <w:rPr>
          <w:i/>
          <w:vertAlign w:val="subscript"/>
        </w:rPr>
        <w:t>4</w:t>
      </w:r>
      <w:r>
        <w:rPr>
          <w:i/>
          <w:vertAlign w:val="baseline"/>
        </w:rPr>
        <w:t>/A</w:t>
      </w:r>
      <w:r>
        <w:rPr>
          <w:i/>
          <w:vertAlign w:val="subscript"/>
        </w:rPr>
        <w:t>2</w:t>
      </w:r>
      <w:r>
        <w:rPr>
          <w:i/>
          <w:spacing w:val="23"/>
          <w:vertAlign w:val="baseline"/>
        </w:rPr>
        <w:t> </w:t>
      </w:r>
      <w:r>
        <w:rPr>
          <w:vertAlign w:val="baseline"/>
        </w:rPr>
        <w:t>of the</w:t>
      </w:r>
      <w:r>
        <w:rPr>
          <w:spacing w:val="21"/>
          <w:vertAlign w:val="baseline"/>
        </w:rPr>
        <w:t> </w:t>
      </w:r>
      <w:r>
        <w:rPr>
          <w:vertAlign w:val="baseline"/>
        </w:rPr>
        <w:t>sample</w:t>
      </w:r>
      <w:r>
        <w:rPr>
          <w:spacing w:val="27"/>
          <w:vertAlign w:val="baseline"/>
        </w:rPr>
        <w:t> </w:t>
      </w:r>
      <w:r>
        <w:rPr>
          <w:vertAlign w:val="baseline"/>
        </w:rPr>
        <w:t>in</w:t>
      </w:r>
      <w:r>
        <w:rPr>
          <w:spacing w:val="23"/>
          <w:vertAlign w:val="baseline"/>
        </w:rPr>
        <w:t> </w:t>
      </w:r>
      <w:r>
        <w:rPr>
          <w:vertAlign w:val="baseline"/>
        </w:rPr>
        <w:t>CO-Hb</w:t>
      </w:r>
      <w:r>
        <w:rPr>
          <w:spacing w:val="23"/>
          <w:vertAlign w:val="baseline"/>
        </w:rPr>
        <w:t> </w:t>
      </w:r>
      <w:r>
        <w:rPr>
          <w:vertAlign w:val="baseline"/>
        </w:rPr>
        <w:t>diluting solution.</w:t>
      </w:r>
      <w:r>
        <w:rPr>
          <w:spacing w:val="28"/>
          <w:vertAlign w:val="baseline"/>
        </w:rPr>
        <w:t> </w:t>
      </w:r>
      <w:r>
        <w:rPr>
          <w:vertAlign w:val="baseline"/>
        </w:rPr>
        <w:t>The</w:t>
      </w:r>
      <w:r>
        <w:rPr>
          <w:spacing w:val="21"/>
          <w:vertAlign w:val="baseline"/>
        </w:rPr>
        <w:t> </w:t>
      </w:r>
      <w:r>
        <w:rPr>
          <w:vertAlign w:val="baseline"/>
        </w:rPr>
        <w:t>three</w:t>
      </w:r>
      <w:r>
        <w:rPr>
          <w:spacing w:val="21"/>
          <w:vertAlign w:val="baseline"/>
        </w:rPr>
        <w:t> </w:t>
      </w:r>
      <w:r>
        <w:rPr>
          <w:vertAlign w:val="baseline"/>
        </w:rPr>
        <w:t>constants,</w:t>
      </w:r>
      <w:r>
        <w:rPr>
          <w:spacing w:val="22"/>
          <w:vertAlign w:val="baseline"/>
        </w:rPr>
        <w:t> </w:t>
      </w:r>
      <w:r>
        <w:rPr>
          <w:vertAlign w:val="baseline"/>
        </w:rPr>
        <w:t>F</w:t>
      </w:r>
      <w:r>
        <w:rPr>
          <w:vertAlign w:val="subscript"/>
        </w:rPr>
        <w:t>1</w:t>
      </w:r>
      <w:r>
        <w:rPr>
          <w:vertAlign w:val="baseline"/>
        </w:rPr>
        <w:t>, F</w:t>
      </w:r>
      <w:r>
        <w:rPr>
          <w:vertAlign w:val="subscript"/>
        </w:rPr>
        <w:t>2</w:t>
      </w:r>
      <w:r>
        <w:rPr>
          <w:vertAlign w:val="baseline"/>
        </w:rPr>
        <w:t>,</w:t>
      </w:r>
      <w:r>
        <w:rPr>
          <w:spacing w:val="40"/>
          <w:vertAlign w:val="baseline"/>
        </w:rPr>
        <w:t> </w:t>
      </w:r>
      <w:r>
        <w:rPr>
          <w:vertAlign w:val="baseline"/>
        </w:rPr>
        <w:t>and</w:t>
      </w:r>
      <w:r>
        <w:rPr>
          <w:spacing w:val="40"/>
          <w:vertAlign w:val="baseline"/>
        </w:rPr>
        <w:t> </w:t>
      </w:r>
      <w:r>
        <w:rPr>
          <w:vertAlign w:val="baseline"/>
        </w:rPr>
        <w:t>F</w:t>
      </w:r>
      <w:r>
        <w:rPr>
          <w:vertAlign w:val="subscript"/>
        </w:rPr>
        <w:t>3</w:t>
      </w:r>
      <w:r>
        <w:rPr>
          <w:vertAlign w:val="baseline"/>
        </w:rPr>
        <w:t> may be computed from the published molar absorption of reduced</w:t>
      </w:r>
      <w:r>
        <w:rPr>
          <w:spacing w:val="40"/>
          <w:vertAlign w:val="baseline"/>
        </w:rPr>
        <w:t> </w:t>
      </w:r>
      <w:r>
        <w:rPr>
          <w:vertAlign w:val="baseline"/>
        </w:rPr>
        <w:t>haemoglobin and CO-Hb at 420 and 432 nm: F</w:t>
      </w:r>
      <w:r>
        <w:rPr>
          <w:vertAlign w:val="subscript"/>
        </w:rPr>
        <w:t>1</w:t>
      </w:r>
      <w:r>
        <w:rPr>
          <w:vertAlign w:val="baseline"/>
        </w:rPr>
        <w:t> = 1.3330, F</w:t>
      </w:r>
      <w:r>
        <w:rPr>
          <w:vertAlign w:val="subscript"/>
        </w:rPr>
        <w:t>2</w:t>
      </w:r>
      <w:r>
        <w:rPr>
          <w:vertAlign w:val="baseline"/>
        </w:rPr>
        <w:t> = 0.4787 and F</w:t>
      </w:r>
      <w:r>
        <w:rPr>
          <w:vertAlign w:val="subscript"/>
        </w:rPr>
        <w:t>3</w:t>
      </w:r>
      <w:r>
        <w:rPr>
          <w:vertAlign w:val="baseline"/>
        </w:rPr>
        <w:t> = 1.9939 (Rodkey </w:t>
      </w:r>
      <w:r>
        <w:rPr>
          <w:i/>
          <w:vertAlign w:val="baseline"/>
        </w:rPr>
        <w:t>et al</w:t>
      </w:r>
      <w:r>
        <w:rPr>
          <w:vertAlign w:val="baseline"/>
        </w:rPr>
        <w:t>., 1979).</w:t>
      </w:r>
    </w:p>
    <w:p>
      <w:pPr>
        <w:pStyle w:val="BodyText"/>
      </w:pPr>
    </w:p>
    <w:p>
      <w:pPr>
        <w:pStyle w:val="BodyText"/>
        <w:spacing w:before="16"/>
      </w:pPr>
    </w:p>
    <w:p>
      <w:pPr>
        <w:pStyle w:val="Heading2"/>
        <w:numPr>
          <w:ilvl w:val="3"/>
          <w:numId w:val="22"/>
        </w:numPr>
        <w:tabs>
          <w:tab w:pos="1338" w:val="left" w:leader="none"/>
        </w:tabs>
        <w:spacing w:line="240" w:lineRule="auto" w:before="1" w:after="0"/>
        <w:ind w:left="1338" w:right="0" w:hanging="673"/>
        <w:jc w:val="left"/>
      </w:pPr>
      <w:bookmarkStart w:name="_TOC_250021" w:id="36"/>
      <w:r>
        <w:rPr/>
        <w:t>DATA</w:t>
      </w:r>
      <w:r>
        <w:rPr>
          <w:spacing w:val="12"/>
        </w:rPr>
        <w:t> </w:t>
      </w:r>
      <w:bookmarkEnd w:id="36"/>
      <w:r>
        <w:rPr>
          <w:spacing w:val="-2"/>
        </w:rPr>
        <w:t>ANALYSIS</w:t>
      </w:r>
    </w:p>
    <w:p>
      <w:pPr>
        <w:pStyle w:val="BodyText"/>
        <w:spacing w:before="7"/>
        <w:rPr>
          <w:b/>
        </w:rPr>
      </w:pPr>
    </w:p>
    <w:p>
      <w:pPr>
        <w:pStyle w:val="BodyText"/>
        <w:spacing w:line="491" w:lineRule="auto"/>
        <w:ind w:left="665" w:right="892"/>
        <w:jc w:val="both"/>
      </w:pPr>
      <w:r>
        <w:rPr/>
        <w:t>Data obtained from the study</w:t>
      </w:r>
      <w:r>
        <w:rPr>
          <w:spacing w:val="-1"/>
        </w:rPr>
        <w:t> </w:t>
      </w:r>
      <w:r>
        <w:rPr/>
        <w:t>were expressed as means ± standard error of mean (SEM). Student’s</w:t>
      </w:r>
      <w:r>
        <w:rPr>
          <w:spacing w:val="40"/>
        </w:rPr>
        <w:t> </w:t>
      </w:r>
      <w:r>
        <w:rPr/>
        <w:t>t-test</w:t>
      </w:r>
      <w:r>
        <w:rPr>
          <w:spacing w:val="40"/>
        </w:rPr>
        <w:t> </w:t>
      </w:r>
      <w:r>
        <w:rPr/>
        <w:t>was</w:t>
      </w:r>
      <w:r>
        <w:rPr>
          <w:spacing w:val="40"/>
        </w:rPr>
        <w:t> </w:t>
      </w:r>
      <w:r>
        <w:rPr/>
        <w:t>used</w:t>
      </w:r>
      <w:r>
        <w:rPr>
          <w:spacing w:val="40"/>
        </w:rPr>
        <w:t> </w:t>
      </w:r>
      <w:r>
        <w:rPr/>
        <w:t>to</w:t>
      </w:r>
      <w:r>
        <w:rPr>
          <w:spacing w:val="40"/>
        </w:rPr>
        <w:t> </w:t>
      </w:r>
      <w:r>
        <w:rPr/>
        <w:t>compare</w:t>
      </w:r>
      <w:r>
        <w:rPr>
          <w:spacing w:val="40"/>
        </w:rPr>
        <w:t> </w:t>
      </w:r>
      <w:r>
        <w:rPr/>
        <w:t>the</w:t>
      </w:r>
      <w:r>
        <w:rPr>
          <w:spacing w:val="40"/>
        </w:rPr>
        <w:t> </w:t>
      </w:r>
      <w:r>
        <w:rPr/>
        <w:t>means</w:t>
      </w:r>
      <w:r>
        <w:rPr>
          <w:spacing w:val="40"/>
        </w:rPr>
        <w:t> </w:t>
      </w:r>
      <w:r>
        <w:rPr/>
        <w:t>between</w:t>
      </w:r>
      <w:r>
        <w:rPr>
          <w:spacing w:val="40"/>
        </w:rPr>
        <w:t> </w:t>
      </w:r>
      <w:r>
        <w:rPr/>
        <w:t>experimental and</w:t>
      </w:r>
      <w:r>
        <w:rPr>
          <w:spacing w:val="40"/>
        </w:rPr>
        <w:t> </w:t>
      </w:r>
      <w:r>
        <w:rPr/>
        <w:t>control groups, as well as between Day-1 and Day-2 of the study using independent and paired sample student’s t-test, respectively. For all evaluations, values of P &lt; 0.05 were considered to imply statistical significance. Microsoft Office Excel version 2007 and Statistical Package for Social Sciences (SPSS) version 15.0 soft ware were employed in analyzing the data.</w:t>
      </w:r>
    </w:p>
    <w:p>
      <w:pPr>
        <w:spacing w:after="0" w:line="491" w:lineRule="auto"/>
        <w:jc w:val="both"/>
        <w:sectPr>
          <w:pgSz w:w="12240" w:h="15840"/>
          <w:pgMar w:header="0" w:footer="916" w:top="1260" w:bottom="1100" w:left="1720" w:right="960"/>
        </w:sectPr>
      </w:pPr>
    </w:p>
    <w:p>
      <w:pPr>
        <w:pStyle w:val="Heading1"/>
      </w:pPr>
      <w:bookmarkStart w:name="_TOC_250020" w:id="37"/>
      <w:r>
        <w:rPr/>
        <w:t>CHAPTER</w:t>
      </w:r>
      <w:r>
        <w:rPr>
          <w:spacing w:val="7"/>
        </w:rPr>
        <w:t> </w:t>
      </w:r>
      <w:bookmarkEnd w:id="37"/>
      <w:r>
        <w:rPr>
          <w:spacing w:val="-4"/>
        </w:rPr>
        <w:t>FOUR</w:t>
      </w:r>
    </w:p>
    <w:p>
      <w:pPr>
        <w:pStyle w:val="BodyText"/>
        <w:rPr>
          <w:b/>
        </w:rPr>
      </w:pPr>
    </w:p>
    <w:p>
      <w:pPr>
        <w:pStyle w:val="BodyText"/>
        <w:rPr>
          <w:b/>
        </w:rPr>
      </w:pPr>
    </w:p>
    <w:p>
      <w:pPr>
        <w:pStyle w:val="BodyText"/>
        <w:spacing w:before="79"/>
        <w:rPr>
          <w:b/>
        </w:rPr>
      </w:pPr>
    </w:p>
    <w:p>
      <w:pPr>
        <w:pStyle w:val="Heading2"/>
        <w:numPr>
          <w:ilvl w:val="1"/>
          <w:numId w:val="23"/>
        </w:numPr>
        <w:tabs>
          <w:tab w:pos="1060" w:val="left" w:leader="none"/>
        </w:tabs>
        <w:spacing w:line="240" w:lineRule="auto" w:before="0" w:after="0"/>
        <w:ind w:left="1060" w:right="0" w:hanging="395"/>
        <w:jc w:val="both"/>
      </w:pPr>
      <w:bookmarkStart w:name="_TOC_250019" w:id="38"/>
      <w:bookmarkEnd w:id="38"/>
      <w:r>
        <w:rPr>
          <w:spacing w:val="-2"/>
        </w:rPr>
        <w:t>RESULTS</w:t>
      </w:r>
    </w:p>
    <w:p>
      <w:pPr>
        <w:pStyle w:val="BodyText"/>
        <w:spacing w:before="7"/>
        <w:rPr>
          <w:b/>
        </w:rPr>
      </w:pPr>
    </w:p>
    <w:p>
      <w:pPr>
        <w:pStyle w:val="BodyText"/>
        <w:spacing w:line="491" w:lineRule="auto" w:before="1"/>
        <w:ind w:left="665" w:right="897"/>
        <w:jc w:val="both"/>
      </w:pPr>
      <w:r>
        <w:rPr/>
        <w:t>The parameters measured in this study were transfer latencies (TL) and number of foot- slips in the neurobehavioral tests, and percentage blood COHb level.</w:t>
      </w:r>
    </w:p>
    <w:p>
      <w:pPr>
        <w:pStyle w:val="BodyText"/>
      </w:pPr>
    </w:p>
    <w:p>
      <w:pPr>
        <w:pStyle w:val="BodyText"/>
        <w:spacing w:before="16"/>
      </w:pPr>
    </w:p>
    <w:p>
      <w:pPr>
        <w:pStyle w:val="Heading3"/>
        <w:numPr>
          <w:ilvl w:val="1"/>
          <w:numId w:val="24"/>
        </w:numPr>
        <w:tabs>
          <w:tab w:pos="1047" w:val="left" w:leader="none"/>
        </w:tabs>
        <w:spacing w:line="491" w:lineRule="auto" w:before="0" w:after="0"/>
        <w:ind w:left="665" w:right="895" w:firstLine="0"/>
        <w:jc w:val="both"/>
      </w:pPr>
      <w:r>
        <w:rPr/>
        <w:t>Effects</w:t>
      </w:r>
      <w:r>
        <w:rPr>
          <w:spacing w:val="40"/>
        </w:rPr>
        <w:t> </w:t>
      </w:r>
      <w:r>
        <w:rPr/>
        <w:t>of</w:t>
      </w:r>
      <w:r>
        <w:rPr>
          <w:spacing w:val="40"/>
        </w:rPr>
        <w:t> </w:t>
      </w:r>
      <w:r>
        <w:rPr/>
        <w:t>30</w:t>
      </w:r>
      <w:r>
        <w:rPr>
          <w:spacing w:val="40"/>
        </w:rPr>
        <w:t> </w:t>
      </w:r>
      <w:r>
        <w:rPr/>
        <w:t>minutes</w:t>
      </w:r>
      <w:r>
        <w:rPr>
          <w:spacing w:val="40"/>
        </w:rPr>
        <w:t> </w:t>
      </w:r>
      <w:r>
        <w:rPr/>
        <w:t>of</w:t>
      </w:r>
      <w:r>
        <w:rPr>
          <w:spacing w:val="40"/>
        </w:rPr>
        <w:t> </w:t>
      </w:r>
      <w:r>
        <w:rPr/>
        <w:t>Carbon</w:t>
      </w:r>
      <w:r>
        <w:rPr>
          <w:spacing w:val="40"/>
        </w:rPr>
        <w:t> </w:t>
      </w:r>
      <w:r>
        <w:rPr/>
        <w:t>monoxide</w:t>
      </w:r>
      <w:r>
        <w:rPr>
          <w:spacing w:val="40"/>
        </w:rPr>
        <w:t> </w:t>
      </w:r>
      <w:r>
        <w:rPr/>
        <w:t>exposure</w:t>
      </w:r>
      <w:r>
        <w:rPr>
          <w:spacing w:val="40"/>
        </w:rPr>
        <w:t> </w:t>
      </w:r>
      <w:r>
        <w:rPr/>
        <w:t>on</w:t>
      </w:r>
      <w:r>
        <w:rPr>
          <w:spacing w:val="40"/>
        </w:rPr>
        <w:t> </w:t>
      </w:r>
      <w:r>
        <w:rPr/>
        <w:t>learning/acquisition and retention/memory test</w:t>
      </w:r>
    </w:p>
    <w:p>
      <w:pPr>
        <w:pStyle w:val="BodyText"/>
        <w:spacing w:line="491" w:lineRule="auto"/>
        <w:ind w:left="665" w:right="896"/>
        <w:jc w:val="both"/>
      </w:pPr>
      <w:r>
        <w:rPr/>
        <w:t>Table</w:t>
      </w:r>
      <w:r>
        <w:rPr>
          <w:spacing w:val="40"/>
        </w:rPr>
        <w:t> </w:t>
      </w:r>
      <w:r>
        <w:rPr/>
        <w:t>4.1</w:t>
      </w:r>
      <w:r>
        <w:rPr>
          <w:spacing w:val="40"/>
        </w:rPr>
        <w:t> </w:t>
      </w:r>
      <w:r>
        <w:rPr/>
        <w:t>compares</w:t>
      </w:r>
      <w:r>
        <w:rPr>
          <w:spacing w:val="40"/>
        </w:rPr>
        <w:t> </w:t>
      </w:r>
      <w:r>
        <w:rPr/>
        <w:t>the</w:t>
      </w:r>
      <w:r>
        <w:rPr>
          <w:spacing w:val="40"/>
        </w:rPr>
        <w:t> </w:t>
      </w:r>
      <w:r>
        <w:rPr/>
        <w:t>TLs</w:t>
      </w:r>
      <w:r>
        <w:rPr>
          <w:spacing w:val="40"/>
        </w:rPr>
        <w:t> </w:t>
      </w:r>
      <w:r>
        <w:rPr/>
        <w:t>of</w:t>
      </w:r>
      <w:r>
        <w:rPr>
          <w:spacing w:val="40"/>
        </w:rPr>
        <w:t> </w:t>
      </w:r>
      <w:r>
        <w:rPr/>
        <w:t>the</w:t>
      </w:r>
      <w:r>
        <w:rPr>
          <w:spacing w:val="40"/>
        </w:rPr>
        <w:t> </w:t>
      </w:r>
      <w:r>
        <w:rPr/>
        <w:t>control</w:t>
      </w:r>
      <w:r>
        <w:rPr>
          <w:spacing w:val="40"/>
        </w:rPr>
        <w:t> </w:t>
      </w:r>
      <w:r>
        <w:rPr/>
        <w:t>and</w:t>
      </w:r>
      <w:r>
        <w:rPr>
          <w:spacing w:val="40"/>
        </w:rPr>
        <w:t> </w:t>
      </w:r>
      <w:r>
        <w:rPr/>
        <w:t>experimental</w:t>
      </w:r>
      <w:r>
        <w:rPr>
          <w:spacing w:val="40"/>
        </w:rPr>
        <w:t> </w:t>
      </w:r>
      <w:r>
        <w:rPr/>
        <w:t>groups</w:t>
      </w:r>
      <w:r>
        <w:rPr>
          <w:spacing w:val="40"/>
        </w:rPr>
        <w:t> </w:t>
      </w:r>
      <w:r>
        <w:rPr/>
        <w:t>during</w:t>
      </w:r>
      <w:r>
        <w:rPr>
          <w:spacing w:val="40"/>
        </w:rPr>
        <w:t> </w:t>
      </w:r>
      <w:r>
        <w:rPr/>
        <w:t>learning (Day-1) and</w:t>
      </w:r>
      <w:r>
        <w:rPr>
          <w:spacing w:val="40"/>
        </w:rPr>
        <w:t> </w:t>
      </w:r>
      <w:r>
        <w:rPr/>
        <w:t>memory (Day-2)</w:t>
      </w:r>
      <w:r>
        <w:rPr>
          <w:spacing w:val="40"/>
        </w:rPr>
        <w:t> </w:t>
      </w:r>
      <w:r>
        <w:rPr/>
        <w:t>tests after</w:t>
      </w:r>
      <w:r>
        <w:rPr>
          <w:spacing w:val="40"/>
        </w:rPr>
        <w:t> </w:t>
      </w:r>
      <w:r>
        <w:rPr/>
        <w:t>30</w:t>
      </w:r>
      <w:r>
        <w:rPr>
          <w:spacing w:val="40"/>
        </w:rPr>
        <w:t> </w:t>
      </w:r>
      <w:r>
        <w:rPr/>
        <w:t>minutes of exposure of the experimental group to CO. There was decreased latency (13.4 ± 1.5 sec.) of the experimental group, when compared to the control (28.6 ± 5.2 sec.) in Day-1. The decrease was statistically significant with P value of 0.023 and suggested enhanced ability of mice to learn new behaviour.</w:t>
      </w:r>
      <w:r>
        <w:rPr>
          <w:spacing w:val="19"/>
        </w:rPr>
        <w:t> </w:t>
      </w:r>
      <w:r>
        <w:rPr/>
        <w:t>In day-2</w:t>
      </w:r>
      <w:r>
        <w:rPr>
          <w:spacing w:val="26"/>
        </w:rPr>
        <w:t> </w:t>
      </w:r>
      <w:r>
        <w:rPr/>
        <w:t>however,</w:t>
      </w:r>
      <w:r>
        <w:rPr>
          <w:spacing w:val="19"/>
        </w:rPr>
        <w:t> </w:t>
      </w:r>
      <w:r>
        <w:rPr/>
        <w:t>there was significant</w:t>
      </w:r>
      <w:r>
        <w:rPr>
          <w:spacing w:val="16"/>
        </w:rPr>
        <w:t> </w:t>
      </w:r>
      <w:r>
        <w:rPr/>
        <w:t>(P</w:t>
      </w:r>
      <w:r>
        <w:rPr>
          <w:spacing w:val="18"/>
        </w:rPr>
        <w:t> </w:t>
      </w:r>
      <w:r>
        <w:rPr/>
        <w:t>&lt;</w:t>
      </w:r>
      <w:r>
        <w:rPr>
          <w:spacing w:val="14"/>
        </w:rPr>
        <w:t> </w:t>
      </w:r>
      <w:r>
        <w:rPr/>
        <w:t>0.05)</w:t>
      </w:r>
      <w:r>
        <w:rPr>
          <w:spacing w:val="14"/>
        </w:rPr>
        <w:t> </w:t>
      </w:r>
      <w:r>
        <w:rPr/>
        <w:t>increase in the</w:t>
      </w:r>
      <w:r>
        <w:rPr>
          <w:spacing w:val="18"/>
        </w:rPr>
        <w:t> </w:t>
      </w:r>
      <w:r>
        <w:rPr/>
        <w:t>TL of 48.4</w:t>
      </w:r>
    </w:p>
    <w:p>
      <w:pPr>
        <w:pStyle w:val="BodyText"/>
        <w:spacing w:line="491" w:lineRule="auto"/>
        <w:ind w:left="665" w:right="895"/>
        <w:jc w:val="both"/>
      </w:pPr>
      <w:r>
        <w:rPr/>
        <w:t>± 12.8 sec. in the experimental group when compared to 13.6 ± 1.9 sec. of the control group. This shows impaired retention ability of the mice to recall the learned behaviour. Day-2 test recorded impaired recall despite the enhanced learning recorded previously </w:t>
      </w:r>
      <w:r>
        <w:rPr>
          <w:spacing w:val="-2"/>
        </w:rPr>
        <w:t>(Day-1).</w:t>
      </w:r>
    </w:p>
    <w:p>
      <w:pPr>
        <w:spacing w:after="0" w:line="491" w:lineRule="auto"/>
        <w:jc w:val="both"/>
        <w:sectPr>
          <w:pgSz w:w="12240" w:h="15840"/>
          <w:pgMar w:header="0" w:footer="916" w:top="1260" w:bottom="1100" w:left="1720" w:right="960"/>
        </w:sectPr>
      </w:pPr>
    </w:p>
    <w:p>
      <w:pPr>
        <w:pStyle w:val="Heading3"/>
        <w:spacing w:line="491" w:lineRule="auto" w:before="80"/>
        <w:ind w:right="819"/>
      </w:pPr>
      <w:r>
        <w:rPr/>
        <w:t>Table</w:t>
      </w:r>
      <w:r>
        <w:rPr>
          <w:spacing w:val="26"/>
        </w:rPr>
        <w:t> </w:t>
      </w:r>
      <w:r>
        <w:rPr/>
        <w:t>4.1:</w:t>
      </w:r>
      <w:r>
        <w:rPr>
          <w:spacing w:val="35"/>
        </w:rPr>
        <w:t> </w:t>
      </w:r>
      <w:r>
        <w:rPr/>
        <w:t>Transfer</w:t>
      </w:r>
      <w:r>
        <w:rPr>
          <w:spacing w:val="32"/>
        </w:rPr>
        <w:t> </w:t>
      </w:r>
      <w:r>
        <w:rPr/>
        <w:t>latencies</w:t>
      </w:r>
      <w:r>
        <w:rPr>
          <w:spacing w:val="24"/>
        </w:rPr>
        <w:t> </w:t>
      </w:r>
      <w:r>
        <w:rPr/>
        <w:t>of</w:t>
      </w:r>
      <w:r>
        <w:rPr>
          <w:spacing w:val="33"/>
        </w:rPr>
        <w:t> </w:t>
      </w:r>
      <w:r>
        <w:rPr/>
        <w:t>control</w:t>
      </w:r>
      <w:r>
        <w:rPr>
          <w:spacing w:val="26"/>
        </w:rPr>
        <w:t> </w:t>
      </w:r>
      <w:r>
        <w:rPr/>
        <w:t>and</w:t>
      </w:r>
      <w:r>
        <w:rPr>
          <w:spacing w:val="31"/>
        </w:rPr>
        <w:t> </w:t>
      </w:r>
      <w:r>
        <w:rPr/>
        <w:t>experimental</w:t>
      </w:r>
      <w:r>
        <w:rPr>
          <w:spacing w:val="26"/>
        </w:rPr>
        <w:t> </w:t>
      </w:r>
      <w:r>
        <w:rPr/>
        <w:t>groups</w:t>
      </w:r>
      <w:r>
        <w:rPr>
          <w:spacing w:val="24"/>
        </w:rPr>
        <w:t> </w:t>
      </w:r>
      <w:r>
        <w:rPr/>
        <w:t>after</w:t>
      </w:r>
      <w:r>
        <w:rPr>
          <w:spacing w:val="26"/>
        </w:rPr>
        <w:t> </w:t>
      </w:r>
      <w:r>
        <w:rPr/>
        <w:t>30</w:t>
      </w:r>
      <w:r>
        <w:rPr>
          <w:spacing w:val="35"/>
        </w:rPr>
        <w:t> </w:t>
      </w:r>
      <w:r>
        <w:rPr/>
        <w:t>minutes of exposure</w:t>
      </w:r>
    </w:p>
    <w:p>
      <w:pPr>
        <w:pStyle w:val="BodyText"/>
        <w:rPr>
          <w:b/>
          <w:sz w:val="20"/>
        </w:rPr>
      </w:pPr>
    </w:p>
    <w:p>
      <w:pPr>
        <w:pStyle w:val="BodyText"/>
        <w:spacing w:before="28"/>
        <w:rPr>
          <w:b/>
          <w:sz w:val="20"/>
        </w:rPr>
      </w:pPr>
      <w:r>
        <w:rPr/>
        <mc:AlternateContent>
          <mc:Choice Requires="wps">
            <w:drawing>
              <wp:anchor distT="0" distB="0" distL="0" distR="0" allowOverlap="1" layoutInCell="1" locked="0" behindDoc="1" simplePos="0" relativeHeight="487588864">
                <wp:simplePos x="0" y="0"/>
                <wp:positionH relativeFrom="page">
                  <wp:posOffset>1450848</wp:posOffset>
                </wp:positionH>
                <wp:positionV relativeFrom="paragraph">
                  <wp:posOffset>179328</wp:posOffset>
                </wp:positionV>
                <wp:extent cx="5206365" cy="9525"/>
                <wp:effectExtent l="0" t="0" r="0" b="0"/>
                <wp:wrapTopAndBottom/>
                <wp:docPr id="11" name="Graphic 11"/>
                <wp:cNvGraphicFramePr>
                  <a:graphicFrameLocks/>
                </wp:cNvGraphicFramePr>
                <a:graphic>
                  <a:graphicData uri="http://schemas.microsoft.com/office/word/2010/wordprocessingShape">
                    <wps:wsp>
                      <wps:cNvPr id="11" name="Graphic 11"/>
                      <wps:cNvSpPr/>
                      <wps:spPr>
                        <a:xfrm>
                          <a:off x="0" y="0"/>
                          <a:ext cx="5206365" cy="9525"/>
                        </a:xfrm>
                        <a:custGeom>
                          <a:avLst/>
                          <a:gdLst/>
                          <a:ahLst/>
                          <a:cxnLst/>
                          <a:rect l="l" t="t" r="r" b="b"/>
                          <a:pathLst>
                            <a:path w="5206365" h="9525">
                              <a:moveTo>
                                <a:pt x="1112507" y="0"/>
                              </a:moveTo>
                              <a:lnTo>
                                <a:pt x="0" y="0"/>
                              </a:lnTo>
                              <a:lnTo>
                                <a:pt x="0" y="9144"/>
                              </a:lnTo>
                              <a:lnTo>
                                <a:pt x="1112507" y="9144"/>
                              </a:lnTo>
                              <a:lnTo>
                                <a:pt x="1112507" y="0"/>
                              </a:lnTo>
                              <a:close/>
                            </a:path>
                            <a:path w="5206365" h="9525">
                              <a:moveTo>
                                <a:pt x="5205971" y="0"/>
                              </a:moveTo>
                              <a:lnTo>
                                <a:pt x="2331720" y="0"/>
                              </a:lnTo>
                              <a:lnTo>
                                <a:pt x="2319528" y="0"/>
                              </a:lnTo>
                              <a:lnTo>
                                <a:pt x="1124712" y="0"/>
                              </a:lnTo>
                              <a:lnTo>
                                <a:pt x="1112520" y="0"/>
                              </a:lnTo>
                              <a:lnTo>
                                <a:pt x="1112520" y="9144"/>
                              </a:lnTo>
                              <a:lnTo>
                                <a:pt x="1124712" y="9144"/>
                              </a:lnTo>
                              <a:lnTo>
                                <a:pt x="2319528" y="9144"/>
                              </a:lnTo>
                              <a:lnTo>
                                <a:pt x="2331720" y="9144"/>
                              </a:lnTo>
                              <a:lnTo>
                                <a:pt x="5205971" y="9144"/>
                              </a:lnTo>
                              <a:lnTo>
                                <a:pt x="5205971"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shape style="position:absolute;margin-left:114.240005pt;margin-top:14.12035pt;width:409.95pt;height:.75pt;mso-position-horizontal-relative:page;mso-position-vertical-relative:paragraph;z-index:-15727616;mso-wrap-distance-left:0;mso-wrap-distance-right:0" id="docshape2" coordorigin="2285,282" coordsize="8199,15" path="m4037,282l2285,282,2285,297,4037,297,4037,282xm10483,282l5957,282,5938,282,4056,282,4037,282,4037,297,4056,297,5938,297,5957,297,10483,297,10483,282xe" filled="true" fillcolor="#4e80bc" stroked="false">
                <v:path arrowok="t"/>
                <v:fill type="solid"/>
                <w10:wrap type="topAndBottom"/>
              </v:shape>
            </w:pict>
          </mc:Fallback>
        </mc:AlternateContent>
      </w:r>
    </w:p>
    <w:p>
      <w:pPr>
        <w:tabs>
          <w:tab w:pos="2417" w:val="left" w:leader="none"/>
          <w:tab w:pos="4318" w:val="left" w:leader="none"/>
        </w:tabs>
        <w:spacing w:before="15"/>
        <w:ind w:left="665" w:right="0" w:firstLine="0"/>
        <w:jc w:val="left"/>
        <w:rPr>
          <w:b/>
          <w:sz w:val="22"/>
        </w:rPr>
      </w:pPr>
      <w:r>
        <w:rPr>
          <w:b/>
          <w:spacing w:val="-2"/>
          <w:sz w:val="22"/>
        </w:rPr>
        <w:t>Groups</w:t>
      </w:r>
      <w:r>
        <w:rPr>
          <w:b/>
          <w:sz w:val="22"/>
        </w:rPr>
        <w:tab/>
      </w:r>
      <w:r>
        <w:rPr>
          <w:b/>
          <w:spacing w:val="-2"/>
          <w:sz w:val="22"/>
        </w:rPr>
        <w:t>Treatment</w:t>
      </w:r>
      <w:r>
        <w:rPr>
          <w:b/>
          <w:sz w:val="22"/>
        </w:rPr>
        <w:tab/>
        <w:t>Transfer</w:t>
      </w:r>
      <w:r>
        <w:rPr>
          <w:b/>
          <w:spacing w:val="14"/>
          <w:sz w:val="22"/>
        </w:rPr>
        <w:t> </w:t>
      </w:r>
      <w:r>
        <w:rPr>
          <w:b/>
          <w:sz w:val="22"/>
        </w:rPr>
        <w:t>Latency</w:t>
      </w:r>
      <w:r>
        <w:rPr>
          <w:b/>
          <w:spacing w:val="4"/>
          <w:sz w:val="22"/>
        </w:rPr>
        <w:t> </w:t>
      </w:r>
      <w:r>
        <w:rPr>
          <w:b/>
          <w:sz w:val="22"/>
        </w:rPr>
        <w:t>(Mean</w:t>
      </w:r>
      <w:r>
        <w:rPr>
          <w:b/>
          <w:spacing w:val="7"/>
          <w:sz w:val="22"/>
        </w:rPr>
        <w:t> </w:t>
      </w:r>
      <w:r>
        <w:rPr>
          <w:sz w:val="22"/>
        </w:rPr>
        <w:t>±</w:t>
      </w:r>
      <w:r>
        <w:rPr>
          <w:spacing w:val="15"/>
          <w:sz w:val="22"/>
        </w:rPr>
        <w:t> </w:t>
      </w:r>
      <w:r>
        <w:rPr>
          <w:b/>
          <w:sz w:val="22"/>
        </w:rPr>
        <w:t>SEM)</w:t>
      </w:r>
      <w:r>
        <w:rPr>
          <w:b/>
          <w:spacing w:val="15"/>
          <w:sz w:val="22"/>
        </w:rPr>
        <w:t> </w:t>
      </w:r>
      <w:r>
        <w:rPr>
          <w:b/>
          <w:spacing w:val="-2"/>
          <w:sz w:val="22"/>
        </w:rPr>
        <w:t>(Seconds)</w:t>
      </w:r>
    </w:p>
    <w:p>
      <w:pPr>
        <w:pStyle w:val="BodyText"/>
        <w:spacing w:before="34" w:after="1"/>
        <w:rPr>
          <w:b/>
          <w:sz w:val="20"/>
        </w:rPr>
      </w:pPr>
    </w:p>
    <w:tbl>
      <w:tblPr>
        <w:tblW w:w="0" w:type="auto"/>
        <w:jc w:val="left"/>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84"/>
        <w:gridCol w:w="2069"/>
        <w:gridCol w:w="1638"/>
        <w:gridCol w:w="2908"/>
      </w:tblGrid>
      <w:tr>
        <w:trPr>
          <w:trHeight w:val="500" w:hRule="atLeast"/>
        </w:trPr>
        <w:tc>
          <w:tcPr>
            <w:tcW w:w="3653" w:type="dxa"/>
            <w:gridSpan w:val="2"/>
            <w:tcBorders>
              <w:bottom w:val="single" w:sz="8" w:space="0" w:color="4E80BC"/>
            </w:tcBorders>
          </w:tcPr>
          <w:p>
            <w:pPr>
              <w:pStyle w:val="TableParagraph"/>
              <w:ind w:left="0"/>
              <w:rPr>
                <w:sz w:val="22"/>
              </w:rPr>
            </w:pPr>
          </w:p>
        </w:tc>
        <w:tc>
          <w:tcPr>
            <w:tcW w:w="1638" w:type="dxa"/>
            <w:tcBorders>
              <w:top w:val="single" w:sz="8" w:space="0" w:color="4E80BC"/>
              <w:bottom w:val="single" w:sz="8" w:space="0" w:color="4E80BC"/>
            </w:tcBorders>
          </w:tcPr>
          <w:p>
            <w:pPr>
              <w:pStyle w:val="TableParagraph"/>
              <w:spacing w:before="5"/>
              <w:rPr>
                <w:b/>
                <w:sz w:val="22"/>
              </w:rPr>
            </w:pPr>
            <w:r>
              <w:rPr>
                <w:b/>
                <w:sz w:val="22"/>
              </w:rPr>
              <w:t>Day-</w:t>
            </w:r>
            <w:r>
              <w:rPr>
                <w:b/>
                <w:spacing w:val="8"/>
                <w:sz w:val="22"/>
              </w:rPr>
              <w:t> </w:t>
            </w:r>
            <w:r>
              <w:rPr>
                <w:b/>
                <w:spacing w:val="-10"/>
                <w:sz w:val="22"/>
              </w:rPr>
              <w:t>1</w:t>
            </w:r>
          </w:p>
        </w:tc>
        <w:tc>
          <w:tcPr>
            <w:tcW w:w="2908" w:type="dxa"/>
            <w:tcBorders>
              <w:top w:val="single" w:sz="8" w:space="0" w:color="4E80BC"/>
              <w:bottom w:val="single" w:sz="8" w:space="0" w:color="4E80BC"/>
            </w:tcBorders>
          </w:tcPr>
          <w:p>
            <w:pPr>
              <w:pStyle w:val="TableParagraph"/>
              <w:spacing w:before="5"/>
              <w:ind w:left="550"/>
              <w:rPr>
                <w:b/>
                <w:sz w:val="22"/>
              </w:rPr>
            </w:pPr>
            <w:r>
              <w:rPr>
                <w:b/>
                <w:sz w:val="22"/>
              </w:rPr>
              <w:t>Day-</w:t>
            </w:r>
            <w:r>
              <w:rPr>
                <w:b/>
                <w:spacing w:val="8"/>
                <w:sz w:val="22"/>
              </w:rPr>
              <w:t> </w:t>
            </w:r>
            <w:r>
              <w:rPr>
                <w:b/>
                <w:spacing w:val="-10"/>
                <w:sz w:val="22"/>
              </w:rPr>
              <w:t>2</w:t>
            </w:r>
          </w:p>
        </w:tc>
      </w:tr>
      <w:tr>
        <w:trPr>
          <w:trHeight w:val="390" w:hRule="atLeast"/>
        </w:trPr>
        <w:tc>
          <w:tcPr>
            <w:tcW w:w="1584" w:type="dxa"/>
            <w:tcBorders>
              <w:top w:val="single" w:sz="8" w:space="0" w:color="4E80BC"/>
            </w:tcBorders>
          </w:tcPr>
          <w:p>
            <w:pPr>
              <w:pStyle w:val="TableParagraph"/>
              <w:rPr>
                <w:sz w:val="22"/>
              </w:rPr>
            </w:pPr>
            <w:r>
              <w:rPr>
                <w:spacing w:val="-2"/>
                <w:sz w:val="22"/>
              </w:rPr>
              <w:t>Control</w:t>
            </w:r>
          </w:p>
        </w:tc>
        <w:tc>
          <w:tcPr>
            <w:tcW w:w="2069" w:type="dxa"/>
            <w:tcBorders>
              <w:top w:val="single" w:sz="8" w:space="0" w:color="4E80BC"/>
            </w:tcBorders>
          </w:tcPr>
          <w:p>
            <w:pPr>
              <w:pStyle w:val="TableParagraph"/>
              <w:ind w:left="268"/>
              <w:rPr>
                <w:sz w:val="22"/>
              </w:rPr>
            </w:pPr>
            <w:r>
              <w:rPr>
                <w:sz w:val="22"/>
              </w:rPr>
              <w:t>Room</w:t>
            </w:r>
            <w:r>
              <w:rPr>
                <w:spacing w:val="16"/>
                <w:sz w:val="22"/>
              </w:rPr>
              <w:t> </w:t>
            </w:r>
            <w:r>
              <w:rPr>
                <w:spacing w:val="-5"/>
                <w:sz w:val="22"/>
              </w:rPr>
              <w:t>air</w:t>
            </w:r>
          </w:p>
        </w:tc>
        <w:tc>
          <w:tcPr>
            <w:tcW w:w="1638" w:type="dxa"/>
            <w:tcBorders>
              <w:top w:val="single" w:sz="8" w:space="0" w:color="4E80BC"/>
            </w:tcBorders>
          </w:tcPr>
          <w:p>
            <w:pPr>
              <w:pStyle w:val="TableParagraph"/>
              <w:rPr>
                <w:sz w:val="22"/>
              </w:rPr>
            </w:pPr>
            <w:r>
              <w:rPr>
                <w:sz w:val="22"/>
              </w:rPr>
              <w:t>28.6</w:t>
            </w:r>
            <w:r>
              <w:rPr>
                <w:spacing w:val="6"/>
                <w:sz w:val="22"/>
              </w:rPr>
              <w:t> </w:t>
            </w:r>
            <w:r>
              <w:rPr>
                <w:sz w:val="22"/>
              </w:rPr>
              <w:t>±</w:t>
            </w:r>
            <w:r>
              <w:rPr>
                <w:spacing w:val="2"/>
                <w:sz w:val="22"/>
              </w:rPr>
              <w:t> </w:t>
            </w:r>
            <w:r>
              <w:rPr>
                <w:spacing w:val="-4"/>
                <w:sz w:val="22"/>
              </w:rPr>
              <w:t>5.2</w:t>
            </w:r>
            <w:r>
              <w:rPr>
                <w:spacing w:val="-4"/>
                <w:sz w:val="22"/>
                <w:vertAlign w:val="superscript"/>
              </w:rPr>
              <w:t>b</w:t>
            </w:r>
          </w:p>
        </w:tc>
        <w:tc>
          <w:tcPr>
            <w:tcW w:w="2908" w:type="dxa"/>
            <w:tcBorders>
              <w:top w:val="single" w:sz="8" w:space="0" w:color="4E80BC"/>
            </w:tcBorders>
          </w:tcPr>
          <w:p>
            <w:pPr>
              <w:pStyle w:val="TableParagraph"/>
              <w:ind w:left="550"/>
              <w:rPr>
                <w:sz w:val="22"/>
              </w:rPr>
            </w:pPr>
            <w:r>
              <w:rPr>
                <w:sz w:val="22"/>
              </w:rPr>
              <w:t>13.6</w:t>
            </w:r>
            <w:r>
              <w:rPr>
                <w:spacing w:val="7"/>
                <w:sz w:val="22"/>
              </w:rPr>
              <w:t> </w:t>
            </w:r>
            <w:r>
              <w:rPr>
                <w:sz w:val="22"/>
              </w:rPr>
              <w:t>±</w:t>
            </w:r>
            <w:r>
              <w:rPr>
                <w:spacing w:val="2"/>
                <w:sz w:val="22"/>
              </w:rPr>
              <w:t> </w:t>
            </w:r>
            <w:r>
              <w:rPr>
                <w:spacing w:val="-4"/>
                <w:sz w:val="22"/>
              </w:rPr>
              <w:t>1.9</w:t>
            </w:r>
            <w:r>
              <w:rPr>
                <w:spacing w:val="-4"/>
                <w:sz w:val="22"/>
                <w:vertAlign w:val="superscript"/>
              </w:rPr>
              <w:t>b</w:t>
            </w:r>
          </w:p>
        </w:tc>
      </w:tr>
      <w:tr>
        <w:trPr>
          <w:trHeight w:val="400" w:hRule="atLeast"/>
        </w:trPr>
        <w:tc>
          <w:tcPr>
            <w:tcW w:w="1584" w:type="dxa"/>
          </w:tcPr>
          <w:p>
            <w:pPr>
              <w:pStyle w:val="TableParagraph"/>
              <w:spacing w:line="234" w:lineRule="exact" w:before="146"/>
              <w:rPr>
                <w:sz w:val="22"/>
              </w:rPr>
            </w:pPr>
            <w:r>
              <w:rPr>
                <w:spacing w:val="-2"/>
                <w:sz w:val="22"/>
              </w:rPr>
              <w:t>Experimental</w:t>
            </w:r>
          </w:p>
        </w:tc>
        <w:tc>
          <w:tcPr>
            <w:tcW w:w="2069" w:type="dxa"/>
          </w:tcPr>
          <w:p>
            <w:pPr>
              <w:pStyle w:val="TableParagraph"/>
              <w:spacing w:line="234" w:lineRule="exact" w:before="146"/>
              <w:ind w:left="268"/>
              <w:rPr>
                <w:sz w:val="22"/>
              </w:rPr>
            </w:pPr>
            <w:r>
              <w:rPr>
                <w:sz w:val="22"/>
              </w:rPr>
              <w:t>Carbon</w:t>
            </w:r>
            <w:r>
              <w:rPr>
                <w:spacing w:val="10"/>
                <w:sz w:val="22"/>
              </w:rPr>
              <w:t> </w:t>
            </w:r>
            <w:r>
              <w:rPr>
                <w:spacing w:val="-2"/>
                <w:sz w:val="22"/>
              </w:rPr>
              <w:t>monoxide</w:t>
            </w:r>
          </w:p>
        </w:tc>
        <w:tc>
          <w:tcPr>
            <w:tcW w:w="1638" w:type="dxa"/>
          </w:tcPr>
          <w:p>
            <w:pPr>
              <w:pStyle w:val="TableParagraph"/>
              <w:spacing w:line="234" w:lineRule="exact" w:before="146"/>
              <w:rPr>
                <w:sz w:val="22"/>
              </w:rPr>
            </w:pPr>
            <w:r>
              <w:rPr>
                <w:sz w:val="22"/>
              </w:rPr>
              <w:t>13.4</w:t>
            </w:r>
            <w:r>
              <w:rPr>
                <w:spacing w:val="6"/>
                <w:sz w:val="22"/>
              </w:rPr>
              <w:t> </w:t>
            </w:r>
            <w:r>
              <w:rPr>
                <w:sz w:val="22"/>
              </w:rPr>
              <w:t>±</w:t>
            </w:r>
            <w:r>
              <w:rPr>
                <w:spacing w:val="2"/>
                <w:sz w:val="22"/>
              </w:rPr>
              <w:t> </w:t>
            </w:r>
            <w:r>
              <w:rPr>
                <w:spacing w:val="-4"/>
                <w:sz w:val="22"/>
              </w:rPr>
              <w:t>1.5</w:t>
            </w:r>
            <w:r>
              <w:rPr>
                <w:spacing w:val="-4"/>
                <w:sz w:val="22"/>
                <w:vertAlign w:val="superscript"/>
              </w:rPr>
              <w:t>a</w:t>
            </w:r>
          </w:p>
        </w:tc>
        <w:tc>
          <w:tcPr>
            <w:tcW w:w="2908" w:type="dxa"/>
          </w:tcPr>
          <w:p>
            <w:pPr>
              <w:pStyle w:val="TableParagraph"/>
              <w:spacing w:line="234" w:lineRule="exact" w:before="146"/>
              <w:ind w:left="550"/>
              <w:rPr>
                <w:sz w:val="22"/>
              </w:rPr>
            </w:pPr>
            <w:r>
              <w:rPr>
                <w:sz w:val="22"/>
              </w:rPr>
              <w:t>48.4</w:t>
            </w:r>
            <w:r>
              <w:rPr>
                <w:spacing w:val="7"/>
                <w:sz w:val="22"/>
              </w:rPr>
              <w:t> </w:t>
            </w:r>
            <w:r>
              <w:rPr>
                <w:sz w:val="22"/>
              </w:rPr>
              <w:t>±</w:t>
            </w:r>
            <w:r>
              <w:rPr>
                <w:spacing w:val="2"/>
                <w:sz w:val="22"/>
              </w:rPr>
              <w:t> </w:t>
            </w:r>
            <w:r>
              <w:rPr>
                <w:spacing w:val="-2"/>
                <w:sz w:val="22"/>
              </w:rPr>
              <w:t>12.8</w:t>
            </w:r>
            <w:r>
              <w:rPr>
                <w:spacing w:val="-2"/>
                <w:sz w:val="22"/>
                <w:vertAlign w:val="superscript"/>
              </w:rPr>
              <w:t>a</w:t>
            </w:r>
          </w:p>
        </w:tc>
      </w:tr>
    </w:tbl>
    <w:p>
      <w:pPr>
        <w:pStyle w:val="BodyText"/>
        <w:rPr>
          <w:b/>
          <w:sz w:val="20"/>
        </w:rPr>
      </w:pPr>
      <w:r>
        <w:rPr/>
        <mc:AlternateContent>
          <mc:Choice Requires="wps">
            <w:drawing>
              <wp:anchor distT="0" distB="0" distL="0" distR="0" allowOverlap="1" layoutInCell="1" locked="0" behindDoc="1" simplePos="0" relativeHeight="487589376">
                <wp:simplePos x="0" y="0"/>
                <wp:positionH relativeFrom="page">
                  <wp:posOffset>1441704</wp:posOffset>
                </wp:positionH>
                <wp:positionV relativeFrom="paragraph">
                  <wp:posOffset>161289</wp:posOffset>
                </wp:positionV>
                <wp:extent cx="5215255" cy="12700"/>
                <wp:effectExtent l="0" t="0" r="0" b="0"/>
                <wp:wrapTopAndBottom/>
                <wp:docPr id="12" name="Graphic 12"/>
                <wp:cNvGraphicFramePr>
                  <a:graphicFrameLocks/>
                </wp:cNvGraphicFramePr>
                <a:graphic>
                  <a:graphicData uri="http://schemas.microsoft.com/office/word/2010/wordprocessingShape">
                    <wps:wsp>
                      <wps:cNvPr id="12" name="Graphic 12"/>
                      <wps:cNvSpPr/>
                      <wps:spPr>
                        <a:xfrm>
                          <a:off x="0" y="0"/>
                          <a:ext cx="5215255" cy="12700"/>
                        </a:xfrm>
                        <a:custGeom>
                          <a:avLst/>
                          <a:gdLst/>
                          <a:ahLst/>
                          <a:cxnLst/>
                          <a:rect l="l" t="t" r="r" b="b"/>
                          <a:pathLst>
                            <a:path w="5215255" h="12700">
                              <a:moveTo>
                                <a:pt x="5215115" y="0"/>
                              </a:moveTo>
                              <a:lnTo>
                                <a:pt x="5215115" y="0"/>
                              </a:lnTo>
                              <a:lnTo>
                                <a:pt x="0" y="0"/>
                              </a:lnTo>
                              <a:lnTo>
                                <a:pt x="0" y="12192"/>
                              </a:lnTo>
                              <a:lnTo>
                                <a:pt x="5215115" y="12192"/>
                              </a:lnTo>
                              <a:lnTo>
                                <a:pt x="5215115"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rect style="position:absolute;margin-left:113.520004pt;margin-top:12.699974pt;width:410.63902pt;height:.96pt;mso-position-horizontal-relative:page;mso-position-vertical-relative:paragraph;z-index:-15727104;mso-wrap-distance-left:0;mso-wrap-distance-right:0" id="docshape3" filled="true" fillcolor="#4e80bc" stroked="false">
                <v:fill type="solid"/>
                <w10:wrap type="topAndBottom"/>
              </v:rect>
            </w:pict>
          </mc:Fallback>
        </mc:AlternateContent>
      </w:r>
    </w:p>
    <w:p>
      <w:pPr>
        <w:pStyle w:val="BodyText"/>
        <w:rPr>
          <w:b/>
        </w:rPr>
      </w:pPr>
    </w:p>
    <w:p>
      <w:pPr>
        <w:pStyle w:val="BodyText"/>
        <w:spacing w:before="13"/>
        <w:rPr>
          <w:b/>
        </w:rPr>
      </w:pPr>
    </w:p>
    <w:p>
      <w:pPr>
        <w:pStyle w:val="BodyText"/>
        <w:spacing w:line="244" w:lineRule="auto"/>
        <w:ind w:left="665" w:right="1979"/>
      </w:pPr>
      <w:r>
        <w:rPr>
          <w:vertAlign w:val="superscript"/>
        </w:rPr>
        <w:t>a,</w:t>
      </w:r>
      <w:r>
        <w:rPr>
          <w:spacing w:val="-10"/>
          <w:vertAlign w:val="baseline"/>
        </w:rPr>
        <w:t> </w:t>
      </w:r>
      <w:r>
        <w:rPr>
          <w:vertAlign w:val="superscript"/>
        </w:rPr>
        <w:t>b</w:t>
      </w:r>
      <w:r>
        <w:rPr>
          <w:vertAlign w:val="baseline"/>
        </w:rPr>
        <w:t> = values with different</w:t>
      </w:r>
      <w:r>
        <w:rPr>
          <w:spacing w:val="16"/>
          <w:vertAlign w:val="baseline"/>
        </w:rPr>
        <w:t> </w:t>
      </w:r>
      <w:r>
        <w:rPr>
          <w:vertAlign w:val="baseline"/>
        </w:rPr>
        <w:t>superscript letters</w:t>
      </w:r>
      <w:r>
        <w:rPr>
          <w:spacing w:val="15"/>
          <w:vertAlign w:val="baseline"/>
        </w:rPr>
        <w:t> </w:t>
      </w:r>
      <w:r>
        <w:rPr>
          <w:vertAlign w:val="baseline"/>
        </w:rPr>
        <w:t>indicate significance at P</w:t>
      </w:r>
      <w:r>
        <w:rPr>
          <w:spacing w:val="16"/>
          <w:vertAlign w:val="baseline"/>
        </w:rPr>
        <w:t> </w:t>
      </w:r>
      <w:r>
        <w:rPr>
          <w:vertAlign w:val="baseline"/>
        </w:rPr>
        <w:t>&lt; 0.05</w:t>
      </w:r>
      <w:r>
        <w:rPr>
          <w:spacing w:val="40"/>
          <w:vertAlign w:val="baseline"/>
        </w:rPr>
        <w:t> </w:t>
      </w:r>
      <w:r>
        <w:rPr>
          <w:vertAlign w:val="baseline"/>
        </w:rPr>
        <w:t>n = 5</w:t>
      </w:r>
    </w:p>
    <w:p>
      <w:pPr>
        <w:spacing w:after="0" w:line="244" w:lineRule="auto"/>
        <w:sectPr>
          <w:pgSz w:w="12240" w:h="15840"/>
          <w:pgMar w:header="0" w:footer="916" w:top="1260" w:bottom="1100" w:left="1720" w:right="960"/>
        </w:sectPr>
      </w:pPr>
    </w:p>
    <w:p>
      <w:pPr>
        <w:pStyle w:val="Heading3"/>
        <w:numPr>
          <w:ilvl w:val="2"/>
          <w:numId w:val="24"/>
        </w:numPr>
        <w:tabs>
          <w:tab w:pos="1310" w:val="left" w:leader="none"/>
        </w:tabs>
        <w:spacing w:line="491" w:lineRule="auto" w:before="80" w:after="0"/>
        <w:ind w:left="665" w:right="894" w:firstLine="0"/>
        <w:jc w:val="both"/>
      </w:pPr>
      <w:bookmarkStart w:name="_TOC_250018" w:id="39"/>
      <w:bookmarkEnd w:id="39"/>
      <w:r>
        <w:rPr/>
        <w:t>Effect of 1 hour of Carbon monoxide exposure on learning and retention/memory test</w:t>
      </w:r>
    </w:p>
    <w:p>
      <w:pPr>
        <w:pStyle w:val="BodyText"/>
        <w:spacing w:line="491" w:lineRule="auto"/>
        <w:ind w:left="665" w:right="896"/>
        <w:jc w:val="both"/>
      </w:pPr>
      <w:r>
        <w:rPr/>
        <w:t>During</w:t>
      </w:r>
      <w:r>
        <w:rPr>
          <w:spacing w:val="33"/>
        </w:rPr>
        <w:t> </w:t>
      </w:r>
      <w:r>
        <w:rPr/>
        <w:t>the</w:t>
      </w:r>
      <w:r>
        <w:rPr>
          <w:spacing w:val="37"/>
        </w:rPr>
        <w:t> </w:t>
      </w:r>
      <w:r>
        <w:rPr/>
        <w:t>1</w:t>
      </w:r>
      <w:r>
        <w:rPr>
          <w:spacing w:val="38"/>
        </w:rPr>
        <w:t> </w:t>
      </w:r>
      <w:r>
        <w:rPr/>
        <w:t>hour</w:t>
      </w:r>
      <w:r>
        <w:rPr>
          <w:spacing w:val="38"/>
        </w:rPr>
        <w:t> </w:t>
      </w:r>
      <w:r>
        <w:rPr/>
        <w:t>exposure</w:t>
      </w:r>
      <w:r>
        <w:rPr>
          <w:spacing w:val="37"/>
        </w:rPr>
        <w:t> </w:t>
      </w:r>
      <w:r>
        <w:rPr/>
        <w:t>to</w:t>
      </w:r>
      <w:r>
        <w:rPr>
          <w:spacing w:val="38"/>
        </w:rPr>
        <w:t> </w:t>
      </w:r>
      <w:r>
        <w:rPr/>
        <w:t>CO,</w:t>
      </w:r>
      <w:r>
        <w:rPr>
          <w:spacing w:val="37"/>
        </w:rPr>
        <w:t> </w:t>
      </w:r>
      <w:r>
        <w:rPr/>
        <w:t>increases in the TLs of the experimental</w:t>
      </w:r>
      <w:r>
        <w:rPr>
          <w:spacing w:val="36"/>
        </w:rPr>
        <w:t> </w:t>
      </w:r>
      <w:r>
        <w:rPr/>
        <w:t>group</w:t>
      </w:r>
      <w:r>
        <w:rPr>
          <w:spacing w:val="38"/>
        </w:rPr>
        <w:t> </w:t>
      </w:r>
      <w:r>
        <w:rPr/>
        <w:t>in Day-1</w:t>
      </w:r>
      <w:r>
        <w:rPr>
          <w:spacing w:val="40"/>
        </w:rPr>
        <w:t> </w:t>
      </w:r>
      <w:r>
        <w:rPr/>
        <w:t>(73</w:t>
      </w:r>
      <w:r>
        <w:rPr>
          <w:spacing w:val="36"/>
        </w:rPr>
        <w:t> </w:t>
      </w:r>
      <w:r>
        <w:rPr/>
        <w:t>±</w:t>
      </w:r>
      <w:r>
        <w:rPr>
          <w:spacing w:val="29"/>
        </w:rPr>
        <w:t> </w:t>
      </w:r>
      <w:r>
        <w:rPr/>
        <w:t>8.4</w:t>
      </w:r>
      <w:r>
        <w:rPr>
          <w:spacing w:val="37"/>
        </w:rPr>
        <w:t> </w:t>
      </w:r>
      <w:r>
        <w:rPr/>
        <w:t>sec.)</w:t>
      </w:r>
      <w:r>
        <w:rPr>
          <w:spacing w:val="36"/>
        </w:rPr>
        <w:t> </w:t>
      </w:r>
      <w:r>
        <w:rPr/>
        <w:t>and</w:t>
      </w:r>
      <w:r>
        <w:rPr>
          <w:spacing w:val="40"/>
        </w:rPr>
        <w:t> </w:t>
      </w:r>
      <w:r>
        <w:rPr/>
        <w:t>Day-2</w:t>
      </w:r>
      <w:r>
        <w:rPr>
          <w:spacing w:val="36"/>
        </w:rPr>
        <w:t> </w:t>
      </w:r>
      <w:r>
        <w:rPr/>
        <w:t>(51.6</w:t>
      </w:r>
      <w:r>
        <w:rPr>
          <w:spacing w:val="36"/>
        </w:rPr>
        <w:t> </w:t>
      </w:r>
      <w:r>
        <w:rPr/>
        <w:t>±</w:t>
      </w:r>
      <w:r>
        <w:rPr>
          <w:spacing w:val="29"/>
        </w:rPr>
        <w:t> </w:t>
      </w:r>
      <w:r>
        <w:rPr/>
        <w:t>16.5</w:t>
      </w:r>
      <w:r>
        <w:rPr>
          <w:spacing w:val="38"/>
        </w:rPr>
        <w:t> </w:t>
      </w:r>
      <w:r>
        <w:rPr/>
        <w:t>sec.)</w:t>
      </w:r>
      <w:r>
        <w:rPr>
          <w:spacing w:val="36"/>
        </w:rPr>
        <w:t> </w:t>
      </w:r>
      <w:r>
        <w:rPr/>
        <w:t>were</w:t>
      </w:r>
      <w:r>
        <w:rPr>
          <w:spacing w:val="29"/>
        </w:rPr>
        <w:t> </w:t>
      </w:r>
      <w:r>
        <w:rPr/>
        <w:t>recorded</w:t>
      </w:r>
      <w:r>
        <w:rPr>
          <w:spacing w:val="40"/>
        </w:rPr>
        <w:t> </w:t>
      </w:r>
      <w:r>
        <w:rPr/>
        <w:t>when compared</w:t>
      </w:r>
      <w:r>
        <w:rPr>
          <w:spacing w:val="36"/>
        </w:rPr>
        <w:t> </w:t>
      </w:r>
      <w:r>
        <w:rPr/>
        <w:t>to their controls (21.8 ± 4.4 sec.) and (14.4 ± 2.0 sec.), respectively. However, highly significant</w:t>
      </w:r>
      <w:r>
        <w:rPr>
          <w:spacing w:val="35"/>
        </w:rPr>
        <w:t> </w:t>
      </w:r>
      <w:r>
        <w:rPr/>
        <w:t>(P = 0.001) difference was recorded only during the Day-1 test (Table 4.2).</w:t>
      </w:r>
      <w:r>
        <w:rPr>
          <w:spacing w:val="40"/>
        </w:rPr>
        <w:t> </w:t>
      </w:r>
      <w:r>
        <w:rPr/>
        <w:t>The above result may suggest impaired ability of the exposed mice to learn new</w:t>
      </w:r>
      <w:r>
        <w:rPr>
          <w:spacing w:val="40"/>
        </w:rPr>
        <w:t> </w:t>
      </w:r>
      <w:r>
        <w:rPr/>
        <w:t>behaviour, but not the recall (Table 4.2).</w:t>
      </w:r>
    </w:p>
    <w:p>
      <w:pPr>
        <w:spacing w:after="0" w:line="491" w:lineRule="auto"/>
        <w:jc w:val="both"/>
        <w:sectPr>
          <w:pgSz w:w="12240" w:h="15840"/>
          <w:pgMar w:header="0" w:footer="916" w:top="1260" w:bottom="1100" w:left="1720" w:right="960"/>
        </w:sectPr>
      </w:pPr>
    </w:p>
    <w:p>
      <w:pPr>
        <w:pStyle w:val="Heading3"/>
        <w:spacing w:line="491" w:lineRule="auto" w:before="80"/>
        <w:ind w:right="896"/>
      </w:pPr>
      <w:r>
        <w:rPr/>
        <w:t>Table</w:t>
      </w:r>
      <w:r>
        <w:rPr>
          <w:spacing w:val="30"/>
        </w:rPr>
        <w:t> </w:t>
      </w:r>
      <w:r>
        <w:rPr/>
        <w:t>4.2:</w:t>
      </w:r>
      <w:r>
        <w:rPr>
          <w:spacing w:val="31"/>
        </w:rPr>
        <w:t> </w:t>
      </w:r>
      <w:r>
        <w:rPr/>
        <w:t>Transfer</w:t>
      </w:r>
      <w:r>
        <w:rPr>
          <w:spacing w:val="37"/>
        </w:rPr>
        <w:t> </w:t>
      </w:r>
      <w:r>
        <w:rPr/>
        <w:t>latencies</w:t>
      </w:r>
      <w:r>
        <w:rPr>
          <w:spacing w:val="28"/>
        </w:rPr>
        <w:t> </w:t>
      </w:r>
      <w:r>
        <w:rPr/>
        <w:t>of</w:t>
      </w:r>
      <w:r>
        <w:rPr>
          <w:spacing w:val="31"/>
        </w:rPr>
        <w:t> </w:t>
      </w:r>
      <w:r>
        <w:rPr/>
        <w:t>the</w:t>
      </w:r>
      <w:r>
        <w:rPr>
          <w:spacing w:val="30"/>
        </w:rPr>
        <w:t> </w:t>
      </w:r>
      <w:r>
        <w:rPr/>
        <w:t>control</w:t>
      </w:r>
      <w:r>
        <w:rPr>
          <w:spacing w:val="29"/>
        </w:rPr>
        <w:t> </w:t>
      </w:r>
      <w:r>
        <w:rPr/>
        <w:t>and</w:t>
      </w:r>
      <w:r>
        <w:rPr>
          <w:spacing w:val="35"/>
        </w:rPr>
        <w:t> </w:t>
      </w:r>
      <w:r>
        <w:rPr/>
        <w:t>experimental</w:t>
      </w:r>
      <w:r>
        <w:rPr>
          <w:spacing w:val="29"/>
        </w:rPr>
        <w:t> </w:t>
      </w:r>
      <w:r>
        <w:rPr/>
        <w:t>groups</w:t>
      </w:r>
      <w:r>
        <w:rPr>
          <w:spacing w:val="28"/>
        </w:rPr>
        <w:t> </w:t>
      </w:r>
      <w:r>
        <w:rPr/>
        <w:t>after</w:t>
      </w:r>
      <w:r>
        <w:rPr>
          <w:spacing w:val="30"/>
        </w:rPr>
        <w:t> </w:t>
      </w:r>
      <w:r>
        <w:rPr/>
        <w:t>1</w:t>
      </w:r>
      <w:r>
        <w:rPr>
          <w:spacing w:val="32"/>
        </w:rPr>
        <w:t> </w:t>
      </w:r>
      <w:r>
        <w:rPr/>
        <w:t>hour of exposure.</w:t>
      </w:r>
    </w:p>
    <w:p>
      <w:pPr>
        <w:pStyle w:val="BodyText"/>
        <w:rPr>
          <w:b/>
          <w:sz w:val="20"/>
        </w:rPr>
      </w:pPr>
    </w:p>
    <w:p>
      <w:pPr>
        <w:pStyle w:val="BodyText"/>
        <w:spacing w:before="28"/>
        <w:rPr>
          <w:b/>
          <w:sz w:val="20"/>
        </w:rPr>
      </w:pPr>
      <w:r>
        <w:rPr/>
        <mc:AlternateContent>
          <mc:Choice Requires="wps">
            <w:drawing>
              <wp:anchor distT="0" distB="0" distL="0" distR="0" allowOverlap="1" layoutInCell="1" locked="0" behindDoc="1" simplePos="0" relativeHeight="487589888">
                <wp:simplePos x="0" y="0"/>
                <wp:positionH relativeFrom="page">
                  <wp:posOffset>1450848</wp:posOffset>
                </wp:positionH>
                <wp:positionV relativeFrom="paragraph">
                  <wp:posOffset>179328</wp:posOffset>
                </wp:positionV>
                <wp:extent cx="5206365" cy="9525"/>
                <wp:effectExtent l="0" t="0" r="0" b="0"/>
                <wp:wrapTopAndBottom/>
                <wp:docPr id="13" name="Graphic 13"/>
                <wp:cNvGraphicFramePr>
                  <a:graphicFrameLocks/>
                </wp:cNvGraphicFramePr>
                <a:graphic>
                  <a:graphicData uri="http://schemas.microsoft.com/office/word/2010/wordprocessingShape">
                    <wps:wsp>
                      <wps:cNvPr id="13" name="Graphic 13"/>
                      <wps:cNvSpPr/>
                      <wps:spPr>
                        <a:xfrm>
                          <a:off x="0" y="0"/>
                          <a:ext cx="5206365" cy="9525"/>
                        </a:xfrm>
                        <a:custGeom>
                          <a:avLst/>
                          <a:gdLst/>
                          <a:ahLst/>
                          <a:cxnLst/>
                          <a:rect l="l" t="t" r="r" b="b"/>
                          <a:pathLst>
                            <a:path w="5206365" h="9525">
                              <a:moveTo>
                                <a:pt x="5205971" y="0"/>
                              </a:moveTo>
                              <a:lnTo>
                                <a:pt x="5205971" y="0"/>
                              </a:lnTo>
                              <a:lnTo>
                                <a:pt x="0" y="0"/>
                              </a:lnTo>
                              <a:lnTo>
                                <a:pt x="0" y="9144"/>
                              </a:lnTo>
                              <a:lnTo>
                                <a:pt x="5205971" y="9144"/>
                              </a:lnTo>
                              <a:lnTo>
                                <a:pt x="5205971"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rect style="position:absolute;margin-left:114.240005pt;margin-top:14.12035pt;width:409.919019pt;height:.72pt;mso-position-horizontal-relative:page;mso-position-vertical-relative:paragraph;z-index:-15726592;mso-wrap-distance-left:0;mso-wrap-distance-right:0" id="docshape4" filled="true" fillcolor="#4e80bc" stroked="false">
                <v:fill type="solid"/>
                <w10:wrap type="topAndBottom"/>
              </v:rect>
            </w:pict>
          </mc:Fallback>
        </mc:AlternateContent>
      </w:r>
    </w:p>
    <w:p>
      <w:pPr>
        <w:tabs>
          <w:tab w:pos="2403" w:val="left" w:leader="none"/>
          <w:tab w:pos="4270" w:val="left" w:leader="none"/>
        </w:tabs>
        <w:spacing w:before="15"/>
        <w:ind w:left="665" w:right="0" w:firstLine="0"/>
        <w:jc w:val="left"/>
        <w:rPr>
          <w:b/>
          <w:sz w:val="22"/>
        </w:rPr>
      </w:pPr>
      <w:r>
        <w:rPr>
          <w:b/>
          <w:spacing w:val="-2"/>
          <w:sz w:val="22"/>
        </w:rPr>
        <w:t>Groups</w:t>
      </w:r>
      <w:r>
        <w:rPr>
          <w:b/>
          <w:sz w:val="22"/>
        </w:rPr>
        <w:tab/>
      </w:r>
      <w:r>
        <w:rPr>
          <w:b/>
          <w:spacing w:val="-2"/>
          <w:sz w:val="22"/>
        </w:rPr>
        <w:t>Treatment</w:t>
      </w:r>
      <w:r>
        <w:rPr>
          <w:b/>
          <w:sz w:val="22"/>
        </w:rPr>
        <w:tab/>
        <w:t>Transfer</w:t>
      </w:r>
      <w:r>
        <w:rPr>
          <w:b/>
          <w:spacing w:val="13"/>
          <w:sz w:val="22"/>
        </w:rPr>
        <w:t> </w:t>
      </w:r>
      <w:r>
        <w:rPr>
          <w:b/>
          <w:sz w:val="22"/>
        </w:rPr>
        <w:t>Latency</w:t>
      </w:r>
      <w:r>
        <w:rPr>
          <w:b/>
          <w:spacing w:val="9"/>
          <w:sz w:val="22"/>
        </w:rPr>
        <w:t> </w:t>
      </w:r>
      <w:r>
        <w:rPr>
          <w:b/>
          <w:sz w:val="22"/>
        </w:rPr>
        <w:t>(Mean</w:t>
      </w:r>
      <w:r>
        <w:rPr>
          <w:b/>
          <w:spacing w:val="12"/>
          <w:sz w:val="22"/>
        </w:rPr>
        <w:t> </w:t>
      </w:r>
      <w:r>
        <w:rPr>
          <w:sz w:val="22"/>
        </w:rPr>
        <w:t>±</w:t>
      </w:r>
      <w:r>
        <w:rPr>
          <w:spacing w:val="13"/>
          <w:sz w:val="22"/>
        </w:rPr>
        <w:t> </w:t>
      </w:r>
      <w:r>
        <w:rPr>
          <w:b/>
          <w:sz w:val="22"/>
        </w:rPr>
        <w:t>SEM)</w:t>
      </w:r>
      <w:r>
        <w:rPr>
          <w:b/>
          <w:spacing w:val="9"/>
          <w:sz w:val="22"/>
        </w:rPr>
        <w:t> </w:t>
      </w:r>
      <w:r>
        <w:rPr>
          <w:b/>
          <w:spacing w:val="-2"/>
          <w:sz w:val="22"/>
        </w:rPr>
        <w:t>(Seconds)</w:t>
      </w:r>
    </w:p>
    <w:p>
      <w:pPr>
        <w:pStyle w:val="BodyText"/>
        <w:spacing w:before="34" w:after="1"/>
        <w:rPr>
          <w:b/>
          <w:sz w:val="20"/>
        </w:rPr>
      </w:pPr>
    </w:p>
    <w:tbl>
      <w:tblPr>
        <w:tblW w:w="0" w:type="auto"/>
        <w:jc w:val="left"/>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77"/>
        <w:gridCol w:w="2033"/>
        <w:gridCol w:w="1604"/>
        <w:gridCol w:w="2984"/>
      </w:tblGrid>
      <w:tr>
        <w:trPr>
          <w:trHeight w:val="500" w:hRule="atLeast"/>
        </w:trPr>
        <w:tc>
          <w:tcPr>
            <w:tcW w:w="3610" w:type="dxa"/>
            <w:gridSpan w:val="2"/>
            <w:tcBorders>
              <w:bottom w:val="single" w:sz="8" w:space="0" w:color="4E80BC"/>
            </w:tcBorders>
          </w:tcPr>
          <w:p>
            <w:pPr>
              <w:pStyle w:val="TableParagraph"/>
              <w:ind w:left="0"/>
              <w:rPr>
                <w:sz w:val="22"/>
              </w:rPr>
            </w:pPr>
          </w:p>
        </w:tc>
        <w:tc>
          <w:tcPr>
            <w:tcW w:w="1604" w:type="dxa"/>
            <w:tcBorders>
              <w:top w:val="single" w:sz="8" w:space="0" w:color="4E80BC"/>
              <w:bottom w:val="single" w:sz="8" w:space="0" w:color="4E80BC"/>
            </w:tcBorders>
          </w:tcPr>
          <w:p>
            <w:pPr>
              <w:pStyle w:val="TableParagraph"/>
              <w:spacing w:before="5"/>
              <w:ind w:left="95"/>
              <w:rPr>
                <w:b/>
                <w:sz w:val="22"/>
              </w:rPr>
            </w:pPr>
            <w:r>
              <w:rPr>
                <w:b/>
                <w:sz w:val="22"/>
              </w:rPr>
              <w:t>Day-</w:t>
            </w:r>
            <w:r>
              <w:rPr>
                <w:b/>
                <w:spacing w:val="8"/>
                <w:sz w:val="22"/>
              </w:rPr>
              <w:t> </w:t>
            </w:r>
            <w:r>
              <w:rPr>
                <w:b/>
                <w:spacing w:val="-10"/>
                <w:sz w:val="22"/>
              </w:rPr>
              <w:t>1</w:t>
            </w:r>
          </w:p>
        </w:tc>
        <w:tc>
          <w:tcPr>
            <w:tcW w:w="2984" w:type="dxa"/>
            <w:tcBorders>
              <w:top w:val="single" w:sz="8" w:space="0" w:color="4E80BC"/>
              <w:bottom w:val="single" w:sz="8" w:space="0" w:color="4E80BC"/>
            </w:tcBorders>
          </w:tcPr>
          <w:p>
            <w:pPr>
              <w:pStyle w:val="TableParagraph"/>
              <w:spacing w:before="5"/>
              <w:ind w:left="517"/>
              <w:rPr>
                <w:b/>
                <w:sz w:val="22"/>
              </w:rPr>
            </w:pPr>
            <w:r>
              <w:rPr>
                <w:b/>
                <w:sz w:val="22"/>
              </w:rPr>
              <w:t>Day-</w:t>
            </w:r>
            <w:r>
              <w:rPr>
                <w:b/>
                <w:spacing w:val="8"/>
                <w:sz w:val="22"/>
              </w:rPr>
              <w:t> </w:t>
            </w:r>
            <w:r>
              <w:rPr>
                <w:b/>
                <w:spacing w:val="-10"/>
                <w:sz w:val="22"/>
              </w:rPr>
              <w:t>2</w:t>
            </w:r>
          </w:p>
        </w:tc>
      </w:tr>
      <w:tr>
        <w:trPr>
          <w:trHeight w:val="390" w:hRule="atLeast"/>
        </w:trPr>
        <w:tc>
          <w:tcPr>
            <w:tcW w:w="1577" w:type="dxa"/>
            <w:tcBorders>
              <w:top w:val="single" w:sz="8" w:space="0" w:color="4E80BC"/>
            </w:tcBorders>
          </w:tcPr>
          <w:p>
            <w:pPr>
              <w:pStyle w:val="TableParagraph"/>
              <w:rPr>
                <w:sz w:val="22"/>
              </w:rPr>
            </w:pPr>
            <w:r>
              <w:rPr>
                <w:spacing w:val="-2"/>
                <w:sz w:val="22"/>
              </w:rPr>
              <w:t>Control</w:t>
            </w:r>
          </w:p>
        </w:tc>
        <w:tc>
          <w:tcPr>
            <w:tcW w:w="2033" w:type="dxa"/>
            <w:tcBorders>
              <w:top w:val="single" w:sz="8" w:space="0" w:color="4E80BC"/>
            </w:tcBorders>
          </w:tcPr>
          <w:p>
            <w:pPr>
              <w:pStyle w:val="TableParagraph"/>
              <w:ind w:left="261"/>
              <w:rPr>
                <w:sz w:val="22"/>
              </w:rPr>
            </w:pPr>
            <w:r>
              <w:rPr>
                <w:sz w:val="22"/>
              </w:rPr>
              <w:t>Room</w:t>
            </w:r>
            <w:r>
              <w:rPr>
                <w:spacing w:val="16"/>
                <w:sz w:val="22"/>
              </w:rPr>
              <w:t> </w:t>
            </w:r>
            <w:r>
              <w:rPr>
                <w:spacing w:val="-5"/>
                <w:sz w:val="22"/>
              </w:rPr>
              <w:t>air</w:t>
            </w:r>
          </w:p>
        </w:tc>
        <w:tc>
          <w:tcPr>
            <w:tcW w:w="1604" w:type="dxa"/>
            <w:tcBorders>
              <w:top w:val="single" w:sz="8" w:space="0" w:color="4E80BC"/>
            </w:tcBorders>
          </w:tcPr>
          <w:p>
            <w:pPr>
              <w:pStyle w:val="TableParagraph"/>
              <w:ind w:left="95"/>
              <w:rPr>
                <w:sz w:val="22"/>
              </w:rPr>
            </w:pPr>
            <w:r>
              <w:rPr>
                <w:sz w:val="22"/>
              </w:rPr>
              <w:t>21.8</w:t>
            </w:r>
            <w:r>
              <w:rPr>
                <w:spacing w:val="4"/>
                <w:sz w:val="22"/>
              </w:rPr>
              <w:t> </w:t>
            </w:r>
            <w:r>
              <w:rPr>
                <w:sz w:val="22"/>
              </w:rPr>
              <w:t>±</w:t>
            </w:r>
            <w:r>
              <w:rPr>
                <w:spacing w:val="9"/>
                <w:sz w:val="22"/>
              </w:rPr>
              <w:t> </w:t>
            </w:r>
            <w:r>
              <w:rPr>
                <w:spacing w:val="-4"/>
                <w:sz w:val="22"/>
              </w:rPr>
              <w:t>4.4</w:t>
            </w:r>
            <w:r>
              <w:rPr>
                <w:spacing w:val="-4"/>
                <w:sz w:val="22"/>
                <w:vertAlign w:val="superscript"/>
              </w:rPr>
              <w:t>b</w:t>
            </w:r>
          </w:p>
        </w:tc>
        <w:tc>
          <w:tcPr>
            <w:tcW w:w="2984" w:type="dxa"/>
            <w:tcBorders>
              <w:top w:val="single" w:sz="8" w:space="0" w:color="4E80BC"/>
            </w:tcBorders>
          </w:tcPr>
          <w:p>
            <w:pPr>
              <w:pStyle w:val="TableParagraph"/>
              <w:ind w:left="517"/>
              <w:rPr>
                <w:sz w:val="22"/>
              </w:rPr>
            </w:pPr>
            <w:r>
              <w:rPr>
                <w:sz w:val="22"/>
              </w:rPr>
              <w:t>14.4</w:t>
            </w:r>
            <w:r>
              <w:rPr>
                <w:spacing w:val="4"/>
                <w:sz w:val="22"/>
              </w:rPr>
              <w:t> </w:t>
            </w:r>
            <w:r>
              <w:rPr>
                <w:sz w:val="22"/>
              </w:rPr>
              <w:t>±</w:t>
            </w:r>
            <w:r>
              <w:rPr>
                <w:spacing w:val="9"/>
                <w:sz w:val="22"/>
              </w:rPr>
              <w:t> </w:t>
            </w:r>
            <w:r>
              <w:rPr>
                <w:spacing w:val="-5"/>
                <w:sz w:val="22"/>
              </w:rPr>
              <w:t>2.0</w:t>
            </w:r>
          </w:p>
        </w:tc>
      </w:tr>
      <w:tr>
        <w:trPr>
          <w:trHeight w:val="400" w:hRule="atLeast"/>
        </w:trPr>
        <w:tc>
          <w:tcPr>
            <w:tcW w:w="1577" w:type="dxa"/>
          </w:tcPr>
          <w:p>
            <w:pPr>
              <w:pStyle w:val="TableParagraph"/>
              <w:spacing w:line="234" w:lineRule="exact" w:before="146"/>
              <w:rPr>
                <w:sz w:val="22"/>
              </w:rPr>
            </w:pPr>
            <w:r>
              <w:rPr>
                <w:spacing w:val="-2"/>
                <w:sz w:val="22"/>
              </w:rPr>
              <w:t>Experimental</w:t>
            </w:r>
          </w:p>
        </w:tc>
        <w:tc>
          <w:tcPr>
            <w:tcW w:w="2033" w:type="dxa"/>
          </w:tcPr>
          <w:p>
            <w:pPr>
              <w:pStyle w:val="TableParagraph"/>
              <w:spacing w:line="234" w:lineRule="exact" w:before="146"/>
              <w:ind w:left="261"/>
              <w:rPr>
                <w:sz w:val="22"/>
              </w:rPr>
            </w:pPr>
            <w:r>
              <w:rPr>
                <w:sz w:val="22"/>
              </w:rPr>
              <w:t>Carbon</w:t>
            </w:r>
            <w:r>
              <w:rPr>
                <w:spacing w:val="10"/>
                <w:sz w:val="22"/>
              </w:rPr>
              <w:t> </w:t>
            </w:r>
            <w:r>
              <w:rPr>
                <w:spacing w:val="-2"/>
                <w:sz w:val="22"/>
              </w:rPr>
              <w:t>monoxide</w:t>
            </w:r>
          </w:p>
        </w:tc>
        <w:tc>
          <w:tcPr>
            <w:tcW w:w="1604" w:type="dxa"/>
          </w:tcPr>
          <w:p>
            <w:pPr>
              <w:pStyle w:val="TableParagraph"/>
              <w:spacing w:line="234" w:lineRule="exact" w:before="146"/>
              <w:ind w:left="95"/>
              <w:rPr>
                <w:sz w:val="22"/>
              </w:rPr>
            </w:pPr>
            <w:r>
              <w:rPr>
                <w:sz w:val="22"/>
              </w:rPr>
              <w:t>73.0</w:t>
            </w:r>
            <w:r>
              <w:rPr>
                <w:spacing w:val="4"/>
                <w:sz w:val="22"/>
              </w:rPr>
              <w:t> </w:t>
            </w:r>
            <w:r>
              <w:rPr>
                <w:sz w:val="22"/>
              </w:rPr>
              <w:t>±</w:t>
            </w:r>
            <w:r>
              <w:rPr>
                <w:spacing w:val="9"/>
                <w:sz w:val="22"/>
              </w:rPr>
              <w:t> </w:t>
            </w:r>
            <w:r>
              <w:rPr>
                <w:spacing w:val="-4"/>
                <w:sz w:val="22"/>
              </w:rPr>
              <w:t>8.4</w:t>
            </w:r>
            <w:r>
              <w:rPr>
                <w:spacing w:val="-4"/>
                <w:sz w:val="22"/>
                <w:vertAlign w:val="superscript"/>
              </w:rPr>
              <w:t>a</w:t>
            </w:r>
          </w:p>
        </w:tc>
        <w:tc>
          <w:tcPr>
            <w:tcW w:w="2984" w:type="dxa"/>
          </w:tcPr>
          <w:p>
            <w:pPr>
              <w:pStyle w:val="TableParagraph"/>
              <w:spacing w:line="234" w:lineRule="exact" w:before="146"/>
              <w:ind w:left="517"/>
              <w:rPr>
                <w:sz w:val="22"/>
              </w:rPr>
            </w:pPr>
            <w:r>
              <w:rPr>
                <w:sz w:val="22"/>
              </w:rPr>
              <w:t>51.6</w:t>
            </w:r>
            <w:r>
              <w:rPr>
                <w:spacing w:val="4"/>
                <w:sz w:val="22"/>
              </w:rPr>
              <w:t> </w:t>
            </w:r>
            <w:r>
              <w:rPr>
                <w:sz w:val="22"/>
              </w:rPr>
              <w:t>±</w:t>
            </w:r>
            <w:r>
              <w:rPr>
                <w:spacing w:val="9"/>
                <w:sz w:val="22"/>
              </w:rPr>
              <w:t> </w:t>
            </w:r>
            <w:r>
              <w:rPr>
                <w:spacing w:val="-4"/>
                <w:sz w:val="22"/>
              </w:rPr>
              <w:t>16.5</w:t>
            </w:r>
          </w:p>
        </w:tc>
      </w:tr>
    </w:tbl>
    <w:p>
      <w:pPr>
        <w:pStyle w:val="BodyText"/>
        <w:rPr>
          <w:b/>
          <w:sz w:val="20"/>
        </w:rPr>
      </w:pPr>
      <w:r>
        <w:rPr/>
        <mc:AlternateContent>
          <mc:Choice Requires="wps">
            <w:drawing>
              <wp:anchor distT="0" distB="0" distL="0" distR="0" allowOverlap="1" layoutInCell="1" locked="0" behindDoc="1" simplePos="0" relativeHeight="487590400">
                <wp:simplePos x="0" y="0"/>
                <wp:positionH relativeFrom="page">
                  <wp:posOffset>1441704</wp:posOffset>
                </wp:positionH>
                <wp:positionV relativeFrom="paragraph">
                  <wp:posOffset>161289</wp:posOffset>
                </wp:positionV>
                <wp:extent cx="5215255" cy="12700"/>
                <wp:effectExtent l="0" t="0" r="0" b="0"/>
                <wp:wrapTopAndBottom/>
                <wp:docPr id="14" name="Graphic 14"/>
                <wp:cNvGraphicFramePr>
                  <a:graphicFrameLocks/>
                </wp:cNvGraphicFramePr>
                <a:graphic>
                  <a:graphicData uri="http://schemas.microsoft.com/office/word/2010/wordprocessingShape">
                    <wps:wsp>
                      <wps:cNvPr id="14" name="Graphic 14"/>
                      <wps:cNvSpPr/>
                      <wps:spPr>
                        <a:xfrm>
                          <a:off x="0" y="0"/>
                          <a:ext cx="5215255" cy="12700"/>
                        </a:xfrm>
                        <a:custGeom>
                          <a:avLst/>
                          <a:gdLst/>
                          <a:ahLst/>
                          <a:cxnLst/>
                          <a:rect l="l" t="t" r="r" b="b"/>
                          <a:pathLst>
                            <a:path w="5215255" h="12700">
                              <a:moveTo>
                                <a:pt x="1115555" y="0"/>
                              </a:moveTo>
                              <a:lnTo>
                                <a:pt x="1112520" y="0"/>
                              </a:lnTo>
                              <a:lnTo>
                                <a:pt x="1106424" y="0"/>
                              </a:lnTo>
                              <a:lnTo>
                                <a:pt x="0" y="0"/>
                              </a:lnTo>
                              <a:lnTo>
                                <a:pt x="0" y="12192"/>
                              </a:lnTo>
                              <a:lnTo>
                                <a:pt x="1106424" y="12192"/>
                              </a:lnTo>
                              <a:lnTo>
                                <a:pt x="1112520" y="12192"/>
                              </a:lnTo>
                              <a:lnTo>
                                <a:pt x="1115555" y="12192"/>
                              </a:lnTo>
                              <a:lnTo>
                                <a:pt x="1115555" y="0"/>
                              </a:lnTo>
                              <a:close/>
                            </a:path>
                            <a:path w="5215255" h="12700">
                              <a:moveTo>
                                <a:pt x="3590531" y="0"/>
                              </a:moveTo>
                              <a:lnTo>
                                <a:pt x="3590531" y="0"/>
                              </a:lnTo>
                              <a:lnTo>
                                <a:pt x="1115568" y="0"/>
                              </a:lnTo>
                              <a:lnTo>
                                <a:pt x="1115568" y="12192"/>
                              </a:lnTo>
                              <a:lnTo>
                                <a:pt x="3590531" y="12192"/>
                              </a:lnTo>
                              <a:lnTo>
                                <a:pt x="3590531" y="0"/>
                              </a:lnTo>
                              <a:close/>
                            </a:path>
                            <a:path w="5215255" h="12700">
                              <a:moveTo>
                                <a:pt x="5215115" y="0"/>
                              </a:moveTo>
                              <a:lnTo>
                                <a:pt x="3590544" y="0"/>
                              </a:lnTo>
                              <a:lnTo>
                                <a:pt x="3590544" y="12192"/>
                              </a:lnTo>
                              <a:lnTo>
                                <a:pt x="5215115" y="12192"/>
                              </a:lnTo>
                              <a:lnTo>
                                <a:pt x="5215115"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shape style="position:absolute;margin-left:113.520004pt;margin-top:12.699974pt;width:410.65pt;height:1pt;mso-position-horizontal-relative:page;mso-position-vertical-relative:paragraph;z-index:-15726080;mso-wrap-distance-left:0;mso-wrap-distance-right:0" id="docshape5" coordorigin="2270,254" coordsize="8213,20" path="m4027,254l4022,254,4013,254,2270,254,2270,273,4013,273,4022,273,4027,273,4027,254xm7925,254l7920,254,7906,254,5894,254,5880,254,4027,254,4027,273,5880,273,5894,273,7906,273,7920,273,7925,273,7925,254xm10483,254l7925,254,7925,273,10483,273,10483,254xe" filled="true" fillcolor="#4e80bc" stroked="false">
                <v:path arrowok="t"/>
                <v:fill type="solid"/>
                <w10:wrap type="topAndBottom"/>
              </v:shape>
            </w:pict>
          </mc:Fallback>
        </mc:AlternateContent>
      </w:r>
    </w:p>
    <w:p>
      <w:pPr>
        <w:pStyle w:val="BodyText"/>
        <w:rPr>
          <w:b/>
        </w:rPr>
      </w:pPr>
    </w:p>
    <w:p>
      <w:pPr>
        <w:pStyle w:val="BodyText"/>
        <w:spacing w:before="13"/>
        <w:rPr>
          <w:b/>
        </w:rPr>
      </w:pPr>
    </w:p>
    <w:p>
      <w:pPr>
        <w:pStyle w:val="BodyText"/>
        <w:spacing w:line="244" w:lineRule="auto"/>
        <w:ind w:left="665" w:right="1979"/>
      </w:pPr>
      <w:r>
        <w:rPr>
          <w:vertAlign w:val="superscript"/>
        </w:rPr>
        <w:t>a,</w:t>
      </w:r>
      <w:r>
        <w:rPr>
          <w:spacing w:val="-10"/>
          <w:vertAlign w:val="baseline"/>
        </w:rPr>
        <w:t> </w:t>
      </w:r>
      <w:r>
        <w:rPr>
          <w:vertAlign w:val="superscript"/>
        </w:rPr>
        <w:t>b</w:t>
      </w:r>
      <w:r>
        <w:rPr>
          <w:vertAlign w:val="baseline"/>
        </w:rPr>
        <w:t> = values with different</w:t>
      </w:r>
      <w:r>
        <w:rPr>
          <w:spacing w:val="16"/>
          <w:vertAlign w:val="baseline"/>
        </w:rPr>
        <w:t> </w:t>
      </w:r>
      <w:r>
        <w:rPr>
          <w:vertAlign w:val="baseline"/>
        </w:rPr>
        <w:t>superscript letters</w:t>
      </w:r>
      <w:r>
        <w:rPr>
          <w:spacing w:val="15"/>
          <w:vertAlign w:val="baseline"/>
        </w:rPr>
        <w:t> </w:t>
      </w:r>
      <w:r>
        <w:rPr>
          <w:vertAlign w:val="baseline"/>
        </w:rPr>
        <w:t>indicate significance at P</w:t>
      </w:r>
      <w:r>
        <w:rPr>
          <w:spacing w:val="16"/>
          <w:vertAlign w:val="baseline"/>
        </w:rPr>
        <w:t> </w:t>
      </w:r>
      <w:r>
        <w:rPr>
          <w:vertAlign w:val="baseline"/>
        </w:rPr>
        <w:t>&lt; 0.05</w:t>
      </w:r>
      <w:r>
        <w:rPr>
          <w:spacing w:val="40"/>
          <w:vertAlign w:val="baseline"/>
        </w:rPr>
        <w:t> </w:t>
      </w:r>
      <w:r>
        <w:rPr>
          <w:vertAlign w:val="baseline"/>
        </w:rPr>
        <w:t>n = 5</w:t>
      </w:r>
    </w:p>
    <w:p>
      <w:pPr>
        <w:spacing w:after="0" w:line="244" w:lineRule="auto"/>
        <w:sectPr>
          <w:pgSz w:w="12240" w:h="15840"/>
          <w:pgMar w:header="0" w:footer="916" w:top="1260" w:bottom="1100" w:left="1720" w:right="960"/>
        </w:sectPr>
      </w:pPr>
    </w:p>
    <w:p>
      <w:pPr>
        <w:pStyle w:val="Heading3"/>
        <w:numPr>
          <w:ilvl w:val="2"/>
          <w:numId w:val="24"/>
        </w:numPr>
        <w:tabs>
          <w:tab w:pos="1171" w:val="left" w:leader="none"/>
        </w:tabs>
        <w:spacing w:line="240" w:lineRule="auto" w:before="80" w:after="0"/>
        <w:ind w:left="1171" w:right="0" w:hanging="506"/>
        <w:jc w:val="left"/>
      </w:pPr>
      <w:r>
        <w:rPr/>
        <w:t>Effect</w:t>
      </w:r>
      <w:r>
        <w:rPr>
          <w:spacing w:val="9"/>
        </w:rPr>
        <w:t> </w:t>
      </w:r>
      <w:r>
        <w:rPr/>
        <w:t>of</w:t>
      </w:r>
      <w:r>
        <w:rPr>
          <w:spacing w:val="9"/>
        </w:rPr>
        <w:t> </w:t>
      </w:r>
      <w:r>
        <w:rPr/>
        <w:t>2</w:t>
      </w:r>
      <w:r>
        <w:rPr>
          <w:spacing w:val="17"/>
        </w:rPr>
        <w:t> </w:t>
      </w:r>
      <w:r>
        <w:rPr/>
        <w:t>hours</w:t>
      </w:r>
      <w:r>
        <w:rPr>
          <w:spacing w:val="5"/>
        </w:rPr>
        <w:t> </w:t>
      </w:r>
      <w:r>
        <w:rPr/>
        <w:t>of</w:t>
      </w:r>
      <w:r>
        <w:rPr>
          <w:spacing w:val="10"/>
        </w:rPr>
        <w:t> </w:t>
      </w:r>
      <w:r>
        <w:rPr/>
        <w:t>CO</w:t>
      </w:r>
      <w:r>
        <w:rPr>
          <w:spacing w:val="15"/>
        </w:rPr>
        <w:t> </w:t>
      </w:r>
      <w:r>
        <w:rPr/>
        <w:t>exposure</w:t>
      </w:r>
      <w:r>
        <w:rPr>
          <w:spacing w:val="8"/>
        </w:rPr>
        <w:t> </w:t>
      </w:r>
      <w:r>
        <w:rPr/>
        <w:t>on</w:t>
      </w:r>
      <w:r>
        <w:rPr>
          <w:spacing w:val="13"/>
        </w:rPr>
        <w:t> </w:t>
      </w:r>
      <w:r>
        <w:rPr/>
        <w:t>learning</w:t>
      </w:r>
      <w:r>
        <w:rPr>
          <w:spacing w:val="4"/>
        </w:rPr>
        <w:t> </w:t>
      </w:r>
      <w:r>
        <w:rPr/>
        <w:t>and</w:t>
      </w:r>
      <w:r>
        <w:rPr>
          <w:spacing w:val="13"/>
        </w:rPr>
        <w:t> </w:t>
      </w:r>
      <w:r>
        <w:rPr/>
        <w:t>retention/memory</w:t>
      </w:r>
      <w:r>
        <w:rPr>
          <w:spacing w:val="11"/>
        </w:rPr>
        <w:t> </w:t>
      </w:r>
      <w:r>
        <w:rPr>
          <w:spacing w:val="-4"/>
        </w:rPr>
        <w:t>test</w:t>
      </w:r>
    </w:p>
    <w:p>
      <w:pPr>
        <w:pStyle w:val="BodyText"/>
        <w:spacing w:before="7"/>
        <w:rPr>
          <w:b/>
        </w:rPr>
      </w:pPr>
    </w:p>
    <w:p>
      <w:pPr>
        <w:pStyle w:val="BodyText"/>
        <w:spacing w:before="1"/>
        <w:ind w:left="665"/>
        <w:jc w:val="both"/>
      </w:pPr>
      <w:r>
        <w:rPr/>
        <w:t>Although</w:t>
      </w:r>
      <w:r>
        <w:rPr>
          <w:spacing w:val="14"/>
        </w:rPr>
        <w:t> </w:t>
      </w:r>
      <w:r>
        <w:rPr/>
        <w:t>there</w:t>
      </w:r>
      <w:r>
        <w:rPr>
          <w:spacing w:val="18"/>
        </w:rPr>
        <w:t> </w:t>
      </w:r>
      <w:r>
        <w:rPr/>
        <w:t>were</w:t>
      </w:r>
      <w:r>
        <w:rPr>
          <w:spacing w:val="23"/>
        </w:rPr>
        <w:t> </w:t>
      </w:r>
      <w:r>
        <w:rPr/>
        <w:t>increases</w:t>
      </w:r>
      <w:r>
        <w:rPr>
          <w:spacing w:val="20"/>
        </w:rPr>
        <w:t> </w:t>
      </w:r>
      <w:r>
        <w:rPr/>
        <w:t>in</w:t>
      </w:r>
      <w:r>
        <w:rPr>
          <w:spacing w:val="15"/>
        </w:rPr>
        <w:t> </w:t>
      </w:r>
      <w:r>
        <w:rPr/>
        <w:t>the</w:t>
      </w:r>
      <w:r>
        <w:rPr>
          <w:spacing w:val="18"/>
        </w:rPr>
        <w:t> </w:t>
      </w:r>
      <w:r>
        <w:rPr/>
        <w:t>TLs</w:t>
      </w:r>
      <w:r>
        <w:rPr>
          <w:spacing w:val="15"/>
        </w:rPr>
        <w:t> </w:t>
      </w:r>
      <w:r>
        <w:rPr/>
        <w:t>of</w:t>
      </w:r>
      <w:r>
        <w:rPr>
          <w:spacing w:val="13"/>
        </w:rPr>
        <w:t> </w:t>
      </w:r>
      <w:r>
        <w:rPr/>
        <w:t>the</w:t>
      </w:r>
      <w:r>
        <w:rPr>
          <w:spacing w:val="13"/>
        </w:rPr>
        <w:t> </w:t>
      </w:r>
      <w:r>
        <w:rPr/>
        <w:t>exposed</w:t>
      </w:r>
      <w:r>
        <w:rPr>
          <w:spacing w:val="24"/>
        </w:rPr>
        <w:t> </w:t>
      </w:r>
      <w:r>
        <w:rPr/>
        <w:t>mice</w:t>
      </w:r>
      <w:r>
        <w:rPr>
          <w:spacing w:val="18"/>
        </w:rPr>
        <w:t> </w:t>
      </w:r>
      <w:r>
        <w:rPr/>
        <w:t>during</w:t>
      </w:r>
      <w:r>
        <w:rPr>
          <w:spacing w:val="9"/>
        </w:rPr>
        <w:t> </w:t>
      </w:r>
      <w:r>
        <w:rPr/>
        <w:t>the</w:t>
      </w:r>
      <w:r>
        <w:rPr>
          <w:spacing w:val="22"/>
        </w:rPr>
        <w:t> </w:t>
      </w:r>
      <w:r>
        <w:rPr/>
        <w:t>learning</w:t>
      </w:r>
      <w:r>
        <w:rPr>
          <w:spacing w:val="9"/>
        </w:rPr>
        <w:t> </w:t>
      </w:r>
      <w:r>
        <w:rPr>
          <w:spacing w:val="-2"/>
        </w:rPr>
        <w:t>(54.0</w:t>
      </w:r>
    </w:p>
    <w:p>
      <w:pPr>
        <w:pStyle w:val="BodyText"/>
        <w:spacing w:before="12"/>
      </w:pPr>
    </w:p>
    <w:p>
      <w:pPr>
        <w:pStyle w:val="BodyText"/>
        <w:ind w:left="665"/>
        <w:jc w:val="both"/>
      </w:pPr>
      <w:r>
        <w:rPr/>
        <w:t>±</w:t>
      </w:r>
      <w:r>
        <w:rPr>
          <w:spacing w:val="19"/>
        </w:rPr>
        <w:t> </w:t>
      </w:r>
      <w:r>
        <w:rPr/>
        <w:t>15.1</w:t>
      </w:r>
      <w:r>
        <w:rPr>
          <w:spacing w:val="21"/>
        </w:rPr>
        <w:t> </w:t>
      </w:r>
      <w:r>
        <w:rPr/>
        <w:t>sec.)</w:t>
      </w:r>
      <w:r>
        <w:rPr>
          <w:spacing w:val="16"/>
        </w:rPr>
        <w:t> </w:t>
      </w:r>
      <w:r>
        <w:rPr/>
        <w:t>and</w:t>
      </w:r>
      <w:r>
        <w:rPr>
          <w:spacing w:val="26"/>
        </w:rPr>
        <w:t> </w:t>
      </w:r>
      <w:r>
        <w:rPr/>
        <w:t>memory</w:t>
      </w:r>
      <w:r>
        <w:rPr>
          <w:spacing w:val="6"/>
        </w:rPr>
        <w:t> </w:t>
      </w:r>
      <w:r>
        <w:rPr/>
        <w:t>(66.8</w:t>
      </w:r>
      <w:r>
        <w:rPr>
          <w:spacing w:val="21"/>
        </w:rPr>
        <w:t> </w:t>
      </w:r>
      <w:r>
        <w:rPr/>
        <w:t>±</w:t>
      </w:r>
      <w:r>
        <w:rPr>
          <w:spacing w:val="14"/>
        </w:rPr>
        <w:t> </w:t>
      </w:r>
      <w:r>
        <w:rPr/>
        <w:t>15.3</w:t>
      </w:r>
      <w:r>
        <w:rPr>
          <w:spacing w:val="22"/>
        </w:rPr>
        <w:t> </w:t>
      </w:r>
      <w:r>
        <w:rPr/>
        <w:t>sec.)</w:t>
      </w:r>
      <w:r>
        <w:rPr>
          <w:spacing w:val="20"/>
        </w:rPr>
        <w:t> </w:t>
      </w:r>
      <w:r>
        <w:rPr/>
        <w:t>tests</w:t>
      </w:r>
      <w:r>
        <w:rPr>
          <w:spacing w:val="16"/>
        </w:rPr>
        <w:t> </w:t>
      </w:r>
      <w:r>
        <w:rPr/>
        <w:t>when</w:t>
      </w:r>
      <w:r>
        <w:rPr>
          <w:spacing w:val="17"/>
        </w:rPr>
        <w:t> </w:t>
      </w:r>
      <w:r>
        <w:rPr/>
        <w:t>compared</w:t>
      </w:r>
      <w:r>
        <w:rPr>
          <w:spacing w:val="21"/>
        </w:rPr>
        <w:t> </w:t>
      </w:r>
      <w:r>
        <w:rPr/>
        <w:t>to</w:t>
      </w:r>
      <w:r>
        <w:rPr>
          <w:spacing w:val="26"/>
        </w:rPr>
        <w:t> </w:t>
      </w:r>
      <w:r>
        <w:rPr/>
        <w:t>their</w:t>
      </w:r>
      <w:r>
        <w:rPr>
          <w:spacing w:val="20"/>
        </w:rPr>
        <w:t> </w:t>
      </w:r>
      <w:r>
        <w:rPr/>
        <w:t>controls</w:t>
      </w:r>
      <w:r>
        <w:rPr>
          <w:spacing w:val="17"/>
        </w:rPr>
        <w:t> </w:t>
      </w:r>
      <w:r>
        <w:rPr>
          <w:spacing w:val="-2"/>
        </w:rPr>
        <w:t>(26.0</w:t>
      </w:r>
    </w:p>
    <w:p>
      <w:pPr>
        <w:pStyle w:val="BodyText"/>
        <w:spacing w:before="12"/>
      </w:pPr>
    </w:p>
    <w:p>
      <w:pPr>
        <w:pStyle w:val="BodyText"/>
        <w:spacing w:line="491" w:lineRule="auto"/>
        <w:ind w:left="665" w:right="903"/>
        <w:jc w:val="both"/>
      </w:pPr>
      <w:r>
        <w:rPr/>
        <w:t>±</w:t>
      </w:r>
      <w:r>
        <w:rPr>
          <w:spacing w:val="40"/>
        </w:rPr>
        <w:t> </w:t>
      </w:r>
      <w:r>
        <w:rPr/>
        <w:t>10.5</w:t>
      </w:r>
      <w:r>
        <w:rPr>
          <w:spacing w:val="40"/>
        </w:rPr>
        <w:t> </w:t>
      </w:r>
      <w:r>
        <w:rPr/>
        <w:t>sec.)</w:t>
      </w:r>
      <w:r>
        <w:rPr>
          <w:spacing w:val="40"/>
        </w:rPr>
        <w:t> </w:t>
      </w:r>
      <w:r>
        <w:rPr/>
        <w:t>and</w:t>
      </w:r>
      <w:r>
        <w:rPr>
          <w:spacing w:val="40"/>
        </w:rPr>
        <w:t> </w:t>
      </w:r>
      <w:r>
        <w:rPr/>
        <w:t>(22.6</w:t>
      </w:r>
      <w:r>
        <w:rPr>
          <w:spacing w:val="40"/>
        </w:rPr>
        <w:t> </w:t>
      </w:r>
      <w:r>
        <w:rPr/>
        <w:t>±</w:t>
      </w:r>
      <w:r>
        <w:rPr>
          <w:spacing w:val="40"/>
        </w:rPr>
        <w:t> </w:t>
      </w:r>
      <w:r>
        <w:rPr/>
        <w:t>6.6</w:t>
      </w:r>
      <w:r>
        <w:rPr>
          <w:spacing w:val="40"/>
        </w:rPr>
        <w:t> </w:t>
      </w:r>
      <w:r>
        <w:rPr/>
        <w:t>sec.),</w:t>
      </w:r>
      <w:r>
        <w:rPr>
          <w:spacing w:val="40"/>
        </w:rPr>
        <w:t> </w:t>
      </w:r>
      <w:r>
        <w:rPr/>
        <w:t>only</w:t>
      </w:r>
      <w:r>
        <w:rPr>
          <w:spacing w:val="40"/>
        </w:rPr>
        <w:t> </w:t>
      </w:r>
      <w:r>
        <w:rPr/>
        <w:t>day-2</w:t>
      </w:r>
      <w:r>
        <w:rPr>
          <w:spacing w:val="40"/>
        </w:rPr>
        <w:t> </w:t>
      </w:r>
      <w:r>
        <w:rPr/>
        <w:t>recorded</w:t>
      </w:r>
      <w:r>
        <w:rPr>
          <w:spacing w:val="40"/>
        </w:rPr>
        <w:t> </w:t>
      </w:r>
      <w:r>
        <w:rPr/>
        <w:t>significant</w:t>
      </w:r>
      <w:r>
        <w:rPr>
          <w:spacing w:val="40"/>
        </w:rPr>
        <w:t> </w:t>
      </w:r>
      <w:r>
        <w:rPr/>
        <w:t>difference</w:t>
      </w:r>
      <w:r>
        <w:rPr>
          <w:spacing w:val="40"/>
        </w:rPr>
        <w:t> </w:t>
      </w:r>
      <w:r>
        <w:rPr/>
        <w:t>(P</w:t>
      </w:r>
      <w:r>
        <w:rPr>
          <w:spacing w:val="40"/>
        </w:rPr>
        <w:t> </w:t>
      </w:r>
      <w:r>
        <w:rPr/>
        <w:t>= 0.029).</w:t>
      </w:r>
      <w:r>
        <w:rPr>
          <w:spacing w:val="40"/>
        </w:rPr>
        <w:t> </w:t>
      </w:r>
      <w:r>
        <w:rPr/>
        <w:t>Two</w:t>
      </w:r>
      <w:r>
        <w:rPr>
          <w:spacing w:val="40"/>
        </w:rPr>
        <w:t> </w:t>
      </w:r>
      <w:r>
        <w:rPr/>
        <w:t>hours</w:t>
      </w:r>
      <w:r>
        <w:rPr>
          <w:spacing w:val="40"/>
        </w:rPr>
        <w:t> </w:t>
      </w:r>
      <w:r>
        <w:rPr/>
        <w:t>of</w:t>
      </w:r>
      <w:r>
        <w:rPr>
          <w:spacing w:val="40"/>
        </w:rPr>
        <w:t> </w:t>
      </w:r>
      <w:r>
        <w:rPr/>
        <w:t>CO</w:t>
      </w:r>
      <w:r>
        <w:rPr>
          <w:spacing w:val="40"/>
        </w:rPr>
        <w:t> </w:t>
      </w:r>
      <w:r>
        <w:rPr/>
        <w:t>exposure</w:t>
      </w:r>
      <w:r>
        <w:rPr>
          <w:spacing w:val="40"/>
        </w:rPr>
        <w:t> </w:t>
      </w:r>
      <w:r>
        <w:rPr/>
        <w:t>could</w:t>
      </w:r>
      <w:r>
        <w:rPr>
          <w:spacing w:val="40"/>
        </w:rPr>
        <w:t> </w:t>
      </w:r>
      <w:r>
        <w:rPr/>
        <w:t>therefore</w:t>
      </w:r>
      <w:r>
        <w:rPr>
          <w:spacing w:val="40"/>
        </w:rPr>
        <w:t> </w:t>
      </w:r>
      <w:r>
        <w:rPr/>
        <w:t>only</w:t>
      </w:r>
      <w:r>
        <w:rPr>
          <w:spacing w:val="40"/>
        </w:rPr>
        <w:t> </w:t>
      </w:r>
      <w:r>
        <w:rPr/>
        <w:t>impair</w:t>
      </w:r>
      <w:r>
        <w:rPr>
          <w:spacing w:val="40"/>
        </w:rPr>
        <w:t> </w:t>
      </w:r>
      <w:r>
        <w:rPr/>
        <w:t>the</w:t>
      </w:r>
      <w:r>
        <w:rPr>
          <w:spacing w:val="40"/>
        </w:rPr>
        <w:t> </w:t>
      </w:r>
      <w:r>
        <w:rPr/>
        <w:t>ability</w:t>
      </w:r>
      <w:r>
        <w:rPr>
          <w:spacing w:val="40"/>
        </w:rPr>
        <w:t> </w:t>
      </w:r>
      <w:r>
        <w:rPr/>
        <w:t>of</w:t>
      </w:r>
      <w:r>
        <w:rPr>
          <w:spacing w:val="40"/>
        </w:rPr>
        <w:t> </w:t>
      </w:r>
      <w:r>
        <w:rPr/>
        <w:t>the exposed mice to recall, while sparing the learning ability (Table 4.3).</w:t>
      </w:r>
    </w:p>
    <w:p>
      <w:pPr>
        <w:spacing w:after="0" w:line="491" w:lineRule="auto"/>
        <w:jc w:val="both"/>
        <w:sectPr>
          <w:pgSz w:w="12240" w:h="15840"/>
          <w:pgMar w:header="0" w:footer="916" w:top="1260" w:bottom="1100" w:left="1720" w:right="960"/>
        </w:sectPr>
      </w:pPr>
    </w:p>
    <w:p>
      <w:pPr>
        <w:pStyle w:val="Heading3"/>
        <w:spacing w:line="491" w:lineRule="auto" w:before="80"/>
        <w:ind w:right="819"/>
      </w:pPr>
      <w:r>
        <w:rPr/>
        <w:t>Table</w:t>
      </w:r>
      <w:r>
        <w:rPr>
          <w:spacing w:val="22"/>
        </w:rPr>
        <w:t> </w:t>
      </w:r>
      <w:r>
        <w:rPr/>
        <w:t>4.3:</w:t>
      </w:r>
      <w:r>
        <w:rPr>
          <w:spacing w:val="28"/>
        </w:rPr>
        <w:t> </w:t>
      </w:r>
      <w:r>
        <w:rPr/>
        <w:t>Transfer</w:t>
      </w:r>
      <w:r>
        <w:rPr>
          <w:spacing w:val="27"/>
        </w:rPr>
        <w:t> </w:t>
      </w:r>
      <w:r>
        <w:rPr/>
        <w:t>latencies</w:t>
      </w:r>
      <w:r>
        <w:rPr>
          <w:spacing w:val="24"/>
        </w:rPr>
        <w:t> </w:t>
      </w:r>
      <w:r>
        <w:rPr/>
        <w:t>of</w:t>
      </w:r>
      <w:r>
        <w:rPr>
          <w:spacing w:val="23"/>
        </w:rPr>
        <w:t> </w:t>
      </w:r>
      <w:r>
        <w:rPr/>
        <w:t>the</w:t>
      </w:r>
      <w:r>
        <w:rPr>
          <w:spacing w:val="27"/>
        </w:rPr>
        <w:t> </w:t>
      </w:r>
      <w:r>
        <w:rPr/>
        <w:t>control</w:t>
      </w:r>
      <w:r>
        <w:rPr>
          <w:spacing w:val="21"/>
        </w:rPr>
        <w:t> </w:t>
      </w:r>
      <w:r>
        <w:rPr/>
        <w:t>and experimental</w:t>
      </w:r>
      <w:r>
        <w:rPr>
          <w:spacing w:val="21"/>
        </w:rPr>
        <w:t> </w:t>
      </w:r>
      <w:r>
        <w:rPr/>
        <w:t>groups after</w:t>
      </w:r>
      <w:r>
        <w:rPr>
          <w:spacing w:val="22"/>
        </w:rPr>
        <w:t> </w:t>
      </w:r>
      <w:r>
        <w:rPr/>
        <w:t>2</w:t>
      </w:r>
      <w:r>
        <w:rPr>
          <w:spacing w:val="29"/>
        </w:rPr>
        <w:t> </w:t>
      </w:r>
      <w:r>
        <w:rPr/>
        <w:t>hours of exposure</w:t>
      </w:r>
    </w:p>
    <w:p>
      <w:pPr>
        <w:pStyle w:val="BodyText"/>
        <w:rPr>
          <w:b/>
          <w:sz w:val="20"/>
        </w:rPr>
      </w:pPr>
    </w:p>
    <w:p>
      <w:pPr>
        <w:pStyle w:val="BodyText"/>
        <w:spacing w:before="28"/>
        <w:rPr>
          <w:b/>
          <w:sz w:val="20"/>
        </w:rPr>
      </w:pPr>
      <w:r>
        <w:rPr/>
        <mc:AlternateContent>
          <mc:Choice Requires="wps">
            <w:drawing>
              <wp:anchor distT="0" distB="0" distL="0" distR="0" allowOverlap="1" layoutInCell="1" locked="0" behindDoc="1" simplePos="0" relativeHeight="487590912">
                <wp:simplePos x="0" y="0"/>
                <wp:positionH relativeFrom="page">
                  <wp:posOffset>1450848</wp:posOffset>
                </wp:positionH>
                <wp:positionV relativeFrom="paragraph">
                  <wp:posOffset>179328</wp:posOffset>
                </wp:positionV>
                <wp:extent cx="5206365" cy="9525"/>
                <wp:effectExtent l="0" t="0" r="0" b="0"/>
                <wp:wrapTopAndBottom/>
                <wp:docPr id="15" name="Graphic 15"/>
                <wp:cNvGraphicFramePr>
                  <a:graphicFrameLocks/>
                </wp:cNvGraphicFramePr>
                <a:graphic>
                  <a:graphicData uri="http://schemas.microsoft.com/office/word/2010/wordprocessingShape">
                    <wps:wsp>
                      <wps:cNvPr id="15" name="Graphic 15"/>
                      <wps:cNvSpPr/>
                      <wps:spPr>
                        <a:xfrm>
                          <a:off x="0" y="0"/>
                          <a:ext cx="5206365" cy="9525"/>
                        </a:xfrm>
                        <a:custGeom>
                          <a:avLst/>
                          <a:gdLst/>
                          <a:ahLst/>
                          <a:cxnLst/>
                          <a:rect l="l" t="t" r="r" b="b"/>
                          <a:pathLst>
                            <a:path w="5206365" h="9525">
                              <a:moveTo>
                                <a:pt x="2310371" y="0"/>
                              </a:moveTo>
                              <a:lnTo>
                                <a:pt x="2298192" y="0"/>
                              </a:lnTo>
                              <a:lnTo>
                                <a:pt x="1118616" y="0"/>
                              </a:lnTo>
                              <a:lnTo>
                                <a:pt x="1106424" y="0"/>
                              </a:lnTo>
                              <a:lnTo>
                                <a:pt x="0" y="0"/>
                              </a:lnTo>
                              <a:lnTo>
                                <a:pt x="0" y="9144"/>
                              </a:lnTo>
                              <a:lnTo>
                                <a:pt x="1106424" y="9144"/>
                              </a:lnTo>
                              <a:lnTo>
                                <a:pt x="1118616" y="9144"/>
                              </a:lnTo>
                              <a:lnTo>
                                <a:pt x="2298192" y="9144"/>
                              </a:lnTo>
                              <a:lnTo>
                                <a:pt x="2310371" y="9144"/>
                              </a:lnTo>
                              <a:lnTo>
                                <a:pt x="2310371" y="0"/>
                              </a:lnTo>
                              <a:close/>
                            </a:path>
                            <a:path w="5206365" h="9525">
                              <a:moveTo>
                                <a:pt x="5205984" y="0"/>
                              </a:moveTo>
                              <a:lnTo>
                                <a:pt x="2310384" y="0"/>
                              </a:lnTo>
                              <a:lnTo>
                                <a:pt x="2310384" y="9144"/>
                              </a:lnTo>
                              <a:lnTo>
                                <a:pt x="5205984" y="9144"/>
                              </a:lnTo>
                              <a:lnTo>
                                <a:pt x="5205984"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shape style="position:absolute;margin-left:114.240005pt;margin-top:14.12035pt;width:409.95pt;height:.75pt;mso-position-horizontal-relative:page;mso-position-vertical-relative:paragraph;z-index:-15725568;mso-wrap-distance-left:0;mso-wrap-distance-right:0" id="docshape6" coordorigin="2285,282" coordsize="8199,15" path="m5923,282l5904,282,4046,282,4027,282,2285,282,2285,297,4027,297,4046,297,5904,297,5923,297,5923,282xm10483,282l5923,282,5923,297,10483,297,10483,282xe" filled="true" fillcolor="#4e80bc" stroked="false">
                <v:path arrowok="t"/>
                <v:fill type="solid"/>
                <w10:wrap type="topAndBottom"/>
              </v:shape>
            </w:pict>
          </mc:Fallback>
        </mc:AlternateContent>
      </w:r>
    </w:p>
    <w:p>
      <w:pPr>
        <w:tabs>
          <w:tab w:pos="2407" w:val="left" w:leader="none"/>
          <w:tab w:pos="4284" w:val="left" w:leader="none"/>
        </w:tabs>
        <w:spacing w:before="15"/>
        <w:ind w:left="665" w:right="0" w:firstLine="0"/>
        <w:jc w:val="left"/>
        <w:rPr>
          <w:b/>
          <w:sz w:val="22"/>
        </w:rPr>
      </w:pPr>
      <w:r>
        <w:rPr>
          <w:b/>
          <w:spacing w:val="-2"/>
          <w:sz w:val="22"/>
        </w:rPr>
        <w:t>Groups</w:t>
      </w:r>
      <w:r>
        <w:rPr>
          <w:b/>
          <w:sz w:val="22"/>
        </w:rPr>
        <w:tab/>
      </w:r>
      <w:r>
        <w:rPr>
          <w:b/>
          <w:spacing w:val="-2"/>
          <w:sz w:val="22"/>
        </w:rPr>
        <w:t>Treatment</w:t>
      </w:r>
      <w:r>
        <w:rPr>
          <w:b/>
          <w:sz w:val="22"/>
        </w:rPr>
        <w:tab/>
        <w:t>Transfer</w:t>
      </w:r>
      <w:r>
        <w:rPr>
          <w:b/>
          <w:spacing w:val="13"/>
          <w:sz w:val="22"/>
        </w:rPr>
        <w:t> </w:t>
      </w:r>
      <w:r>
        <w:rPr>
          <w:b/>
          <w:sz w:val="22"/>
        </w:rPr>
        <w:t>Latency</w:t>
      </w:r>
      <w:r>
        <w:rPr>
          <w:b/>
          <w:spacing w:val="12"/>
          <w:sz w:val="22"/>
        </w:rPr>
        <w:t> </w:t>
      </w:r>
      <w:r>
        <w:rPr>
          <w:b/>
          <w:sz w:val="22"/>
        </w:rPr>
        <w:t>(Mean</w:t>
      </w:r>
      <w:r>
        <w:rPr>
          <w:b/>
          <w:spacing w:val="13"/>
          <w:sz w:val="22"/>
        </w:rPr>
        <w:t> </w:t>
      </w:r>
      <w:r>
        <w:rPr>
          <w:sz w:val="22"/>
        </w:rPr>
        <w:t>±</w:t>
      </w:r>
      <w:r>
        <w:rPr>
          <w:spacing w:val="9"/>
          <w:sz w:val="22"/>
        </w:rPr>
        <w:t> </w:t>
      </w:r>
      <w:r>
        <w:rPr>
          <w:b/>
          <w:sz w:val="22"/>
        </w:rPr>
        <w:t>SEM)</w:t>
      </w:r>
      <w:r>
        <w:rPr>
          <w:b/>
          <w:spacing w:val="9"/>
          <w:sz w:val="22"/>
        </w:rPr>
        <w:t> </w:t>
      </w:r>
      <w:r>
        <w:rPr>
          <w:b/>
          <w:spacing w:val="-2"/>
          <w:sz w:val="22"/>
        </w:rPr>
        <w:t>(Seconds)</w:t>
      </w:r>
    </w:p>
    <w:p>
      <w:pPr>
        <w:pStyle w:val="BodyText"/>
        <w:spacing w:before="34" w:after="1"/>
        <w:rPr>
          <w:b/>
          <w:sz w:val="20"/>
        </w:rPr>
      </w:pPr>
    </w:p>
    <w:tbl>
      <w:tblPr>
        <w:tblW w:w="0" w:type="auto"/>
        <w:jc w:val="left"/>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79"/>
        <w:gridCol w:w="2040"/>
        <w:gridCol w:w="1640"/>
        <w:gridCol w:w="2939"/>
      </w:tblGrid>
      <w:tr>
        <w:trPr>
          <w:trHeight w:val="500" w:hRule="atLeast"/>
        </w:trPr>
        <w:tc>
          <w:tcPr>
            <w:tcW w:w="3619" w:type="dxa"/>
            <w:gridSpan w:val="2"/>
            <w:tcBorders>
              <w:bottom w:val="single" w:sz="8" w:space="0" w:color="4E80BC"/>
            </w:tcBorders>
          </w:tcPr>
          <w:p>
            <w:pPr>
              <w:pStyle w:val="TableParagraph"/>
              <w:ind w:left="0"/>
              <w:rPr>
                <w:sz w:val="22"/>
              </w:rPr>
            </w:pPr>
          </w:p>
        </w:tc>
        <w:tc>
          <w:tcPr>
            <w:tcW w:w="1640" w:type="dxa"/>
            <w:tcBorders>
              <w:top w:val="single" w:sz="8" w:space="0" w:color="4E80BC"/>
              <w:bottom w:val="single" w:sz="8" w:space="0" w:color="4E80BC"/>
            </w:tcBorders>
          </w:tcPr>
          <w:p>
            <w:pPr>
              <w:pStyle w:val="TableParagraph"/>
              <w:spacing w:before="5"/>
              <w:ind w:left="101"/>
              <w:rPr>
                <w:b/>
                <w:sz w:val="22"/>
              </w:rPr>
            </w:pPr>
            <w:r>
              <w:rPr>
                <w:b/>
                <w:sz w:val="22"/>
              </w:rPr>
              <w:t>Day-</w:t>
            </w:r>
            <w:r>
              <w:rPr>
                <w:b/>
                <w:spacing w:val="8"/>
                <w:sz w:val="22"/>
              </w:rPr>
              <w:t> </w:t>
            </w:r>
            <w:r>
              <w:rPr>
                <w:b/>
                <w:spacing w:val="-10"/>
                <w:sz w:val="22"/>
              </w:rPr>
              <w:t>1</w:t>
            </w:r>
          </w:p>
        </w:tc>
        <w:tc>
          <w:tcPr>
            <w:tcW w:w="2939" w:type="dxa"/>
            <w:tcBorders>
              <w:top w:val="single" w:sz="8" w:space="0" w:color="4E80BC"/>
              <w:bottom w:val="single" w:sz="8" w:space="0" w:color="4E80BC"/>
            </w:tcBorders>
          </w:tcPr>
          <w:p>
            <w:pPr>
              <w:pStyle w:val="TableParagraph"/>
              <w:spacing w:before="5"/>
              <w:ind w:left="515"/>
              <w:rPr>
                <w:b/>
                <w:sz w:val="22"/>
              </w:rPr>
            </w:pPr>
            <w:r>
              <w:rPr>
                <w:b/>
                <w:sz w:val="22"/>
              </w:rPr>
              <w:t>Day-</w:t>
            </w:r>
            <w:r>
              <w:rPr>
                <w:b/>
                <w:spacing w:val="8"/>
                <w:sz w:val="22"/>
              </w:rPr>
              <w:t> </w:t>
            </w:r>
            <w:r>
              <w:rPr>
                <w:b/>
                <w:spacing w:val="-10"/>
                <w:sz w:val="22"/>
              </w:rPr>
              <w:t>2</w:t>
            </w:r>
          </w:p>
        </w:tc>
      </w:tr>
      <w:tr>
        <w:trPr>
          <w:trHeight w:val="390" w:hRule="atLeast"/>
        </w:trPr>
        <w:tc>
          <w:tcPr>
            <w:tcW w:w="1579" w:type="dxa"/>
            <w:tcBorders>
              <w:top w:val="single" w:sz="8" w:space="0" w:color="4E80BC"/>
            </w:tcBorders>
          </w:tcPr>
          <w:p>
            <w:pPr>
              <w:pStyle w:val="TableParagraph"/>
              <w:rPr>
                <w:sz w:val="22"/>
              </w:rPr>
            </w:pPr>
            <w:r>
              <w:rPr>
                <w:spacing w:val="-2"/>
                <w:sz w:val="22"/>
              </w:rPr>
              <w:t>Control</w:t>
            </w:r>
          </w:p>
        </w:tc>
        <w:tc>
          <w:tcPr>
            <w:tcW w:w="2040" w:type="dxa"/>
            <w:tcBorders>
              <w:top w:val="single" w:sz="8" w:space="0" w:color="4E80BC"/>
            </w:tcBorders>
          </w:tcPr>
          <w:p>
            <w:pPr>
              <w:pStyle w:val="TableParagraph"/>
              <w:ind w:left="264"/>
              <w:rPr>
                <w:sz w:val="22"/>
              </w:rPr>
            </w:pPr>
            <w:r>
              <w:rPr>
                <w:sz w:val="22"/>
              </w:rPr>
              <w:t>Room</w:t>
            </w:r>
            <w:r>
              <w:rPr>
                <w:spacing w:val="16"/>
                <w:sz w:val="22"/>
              </w:rPr>
              <w:t> </w:t>
            </w:r>
            <w:r>
              <w:rPr>
                <w:spacing w:val="-5"/>
                <w:sz w:val="22"/>
              </w:rPr>
              <w:t>air</w:t>
            </w:r>
          </w:p>
        </w:tc>
        <w:tc>
          <w:tcPr>
            <w:tcW w:w="1640" w:type="dxa"/>
            <w:tcBorders>
              <w:top w:val="single" w:sz="8" w:space="0" w:color="4E80BC"/>
            </w:tcBorders>
          </w:tcPr>
          <w:p>
            <w:pPr>
              <w:pStyle w:val="TableParagraph"/>
              <w:ind w:left="101"/>
              <w:rPr>
                <w:sz w:val="22"/>
              </w:rPr>
            </w:pPr>
            <w:r>
              <w:rPr>
                <w:sz w:val="22"/>
              </w:rPr>
              <w:t>26.0</w:t>
            </w:r>
            <w:r>
              <w:rPr>
                <w:spacing w:val="7"/>
                <w:sz w:val="22"/>
              </w:rPr>
              <w:t> </w:t>
            </w:r>
            <w:r>
              <w:rPr>
                <w:sz w:val="22"/>
              </w:rPr>
              <w:t>±</w:t>
            </w:r>
            <w:r>
              <w:rPr>
                <w:spacing w:val="6"/>
                <w:sz w:val="22"/>
              </w:rPr>
              <w:t> </w:t>
            </w:r>
            <w:r>
              <w:rPr>
                <w:spacing w:val="-4"/>
                <w:sz w:val="22"/>
              </w:rPr>
              <w:t>10.5</w:t>
            </w:r>
          </w:p>
        </w:tc>
        <w:tc>
          <w:tcPr>
            <w:tcW w:w="2939" w:type="dxa"/>
            <w:tcBorders>
              <w:top w:val="single" w:sz="8" w:space="0" w:color="4E80BC"/>
            </w:tcBorders>
          </w:tcPr>
          <w:p>
            <w:pPr>
              <w:pStyle w:val="TableParagraph"/>
              <w:ind w:left="515"/>
              <w:rPr>
                <w:sz w:val="22"/>
              </w:rPr>
            </w:pPr>
            <w:r>
              <w:rPr>
                <w:sz w:val="22"/>
              </w:rPr>
              <w:t>22.6</w:t>
            </w:r>
            <w:r>
              <w:rPr>
                <w:spacing w:val="7"/>
                <w:sz w:val="22"/>
              </w:rPr>
              <w:t> </w:t>
            </w:r>
            <w:r>
              <w:rPr>
                <w:sz w:val="22"/>
              </w:rPr>
              <w:t>±</w:t>
            </w:r>
            <w:r>
              <w:rPr>
                <w:spacing w:val="2"/>
                <w:sz w:val="22"/>
              </w:rPr>
              <w:t> </w:t>
            </w:r>
            <w:r>
              <w:rPr>
                <w:spacing w:val="-4"/>
                <w:sz w:val="22"/>
              </w:rPr>
              <w:t>6.6</w:t>
            </w:r>
            <w:r>
              <w:rPr>
                <w:spacing w:val="-4"/>
                <w:sz w:val="22"/>
                <w:vertAlign w:val="superscript"/>
              </w:rPr>
              <w:t>b</w:t>
            </w:r>
          </w:p>
        </w:tc>
      </w:tr>
      <w:tr>
        <w:trPr>
          <w:trHeight w:val="400" w:hRule="atLeast"/>
        </w:trPr>
        <w:tc>
          <w:tcPr>
            <w:tcW w:w="1579" w:type="dxa"/>
          </w:tcPr>
          <w:p>
            <w:pPr>
              <w:pStyle w:val="TableParagraph"/>
              <w:spacing w:line="234" w:lineRule="exact" w:before="146"/>
              <w:rPr>
                <w:sz w:val="22"/>
              </w:rPr>
            </w:pPr>
            <w:r>
              <w:rPr>
                <w:spacing w:val="-2"/>
                <w:sz w:val="22"/>
              </w:rPr>
              <w:t>Experimental</w:t>
            </w:r>
          </w:p>
        </w:tc>
        <w:tc>
          <w:tcPr>
            <w:tcW w:w="2040" w:type="dxa"/>
          </w:tcPr>
          <w:p>
            <w:pPr>
              <w:pStyle w:val="TableParagraph"/>
              <w:spacing w:line="234" w:lineRule="exact" w:before="146"/>
              <w:ind w:left="264"/>
              <w:rPr>
                <w:sz w:val="22"/>
              </w:rPr>
            </w:pPr>
            <w:r>
              <w:rPr>
                <w:sz w:val="22"/>
              </w:rPr>
              <w:t>Carbon</w:t>
            </w:r>
            <w:r>
              <w:rPr>
                <w:spacing w:val="10"/>
                <w:sz w:val="22"/>
              </w:rPr>
              <w:t> </w:t>
            </w:r>
            <w:r>
              <w:rPr>
                <w:spacing w:val="-2"/>
                <w:sz w:val="22"/>
              </w:rPr>
              <w:t>monoxide</w:t>
            </w:r>
          </w:p>
        </w:tc>
        <w:tc>
          <w:tcPr>
            <w:tcW w:w="1640" w:type="dxa"/>
          </w:tcPr>
          <w:p>
            <w:pPr>
              <w:pStyle w:val="TableParagraph"/>
              <w:spacing w:line="234" w:lineRule="exact" w:before="146"/>
              <w:ind w:left="101"/>
              <w:rPr>
                <w:sz w:val="22"/>
              </w:rPr>
            </w:pPr>
            <w:r>
              <w:rPr>
                <w:sz w:val="22"/>
              </w:rPr>
              <w:t>54.0</w:t>
            </w:r>
            <w:r>
              <w:rPr>
                <w:spacing w:val="7"/>
                <w:sz w:val="22"/>
              </w:rPr>
              <w:t> </w:t>
            </w:r>
            <w:r>
              <w:rPr>
                <w:sz w:val="22"/>
              </w:rPr>
              <w:t>±</w:t>
            </w:r>
            <w:r>
              <w:rPr>
                <w:spacing w:val="6"/>
                <w:sz w:val="22"/>
              </w:rPr>
              <w:t> </w:t>
            </w:r>
            <w:r>
              <w:rPr>
                <w:spacing w:val="-4"/>
                <w:sz w:val="22"/>
              </w:rPr>
              <w:t>15.1</w:t>
            </w:r>
          </w:p>
        </w:tc>
        <w:tc>
          <w:tcPr>
            <w:tcW w:w="2939" w:type="dxa"/>
          </w:tcPr>
          <w:p>
            <w:pPr>
              <w:pStyle w:val="TableParagraph"/>
              <w:spacing w:line="234" w:lineRule="exact" w:before="146"/>
              <w:ind w:left="515"/>
              <w:rPr>
                <w:sz w:val="22"/>
              </w:rPr>
            </w:pPr>
            <w:r>
              <w:rPr>
                <w:sz w:val="22"/>
              </w:rPr>
              <w:t>66.8</w:t>
            </w:r>
            <w:r>
              <w:rPr>
                <w:spacing w:val="7"/>
                <w:sz w:val="22"/>
              </w:rPr>
              <w:t> </w:t>
            </w:r>
            <w:r>
              <w:rPr>
                <w:sz w:val="22"/>
              </w:rPr>
              <w:t>±</w:t>
            </w:r>
            <w:r>
              <w:rPr>
                <w:spacing w:val="2"/>
                <w:sz w:val="22"/>
              </w:rPr>
              <w:t> </w:t>
            </w:r>
            <w:r>
              <w:rPr>
                <w:spacing w:val="-2"/>
                <w:sz w:val="22"/>
              </w:rPr>
              <w:t>15.3</w:t>
            </w:r>
            <w:r>
              <w:rPr>
                <w:spacing w:val="-2"/>
                <w:sz w:val="22"/>
                <w:vertAlign w:val="superscript"/>
              </w:rPr>
              <w:t>a</w:t>
            </w:r>
          </w:p>
        </w:tc>
      </w:tr>
    </w:tbl>
    <w:p>
      <w:pPr>
        <w:pStyle w:val="BodyText"/>
        <w:rPr>
          <w:b/>
          <w:sz w:val="20"/>
        </w:rPr>
      </w:pPr>
      <w:r>
        <w:rPr/>
        <mc:AlternateContent>
          <mc:Choice Requires="wps">
            <w:drawing>
              <wp:anchor distT="0" distB="0" distL="0" distR="0" allowOverlap="1" layoutInCell="1" locked="0" behindDoc="1" simplePos="0" relativeHeight="487591424">
                <wp:simplePos x="0" y="0"/>
                <wp:positionH relativeFrom="page">
                  <wp:posOffset>1441704</wp:posOffset>
                </wp:positionH>
                <wp:positionV relativeFrom="paragraph">
                  <wp:posOffset>161289</wp:posOffset>
                </wp:positionV>
                <wp:extent cx="5215255" cy="12700"/>
                <wp:effectExtent l="0" t="0" r="0" b="0"/>
                <wp:wrapTopAndBottom/>
                <wp:docPr id="16" name="Graphic 16"/>
                <wp:cNvGraphicFramePr>
                  <a:graphicFrameLocks/>
                </wp:cNvGraphicFramePr>
                <a:graphic>
                  <a:graphicData uri="http://schemas.microsoft.com/office/word/2010/wordprocessingShape">
                    <wps:wsp>
                      <wps:cNvPr id="16" name="Graphic 16"/>
                      <wps:cNvSpPr/>
                      <wps:spPr>
                        <a:xfrm>
                          <a:off x="0" y="0"/>
                          <a:ext cx="5215255" cy="12700"/>
                        </a:xfrm>
                        <a:custGeom>
                          <a:avLst/>
                          <a:gdLst/>
                          <a:ahLst/>
                          <a:cxnLst/>
                          <a:rect l="l" t="t" r="r" b="b"/>
                          <a:pathLst>
                            <a:path w="5215255" h="12700">
                              <a:moveTo>
                                <a:pt x="3614915" y="0"/>
                              </a:moveTo>
                              <a:lnTo>
                                <a:pt x="3614915" y="0"/>
                              </a:lnTo>
                              <a:lnTo>
                                <a:pt x="0" y="0"/>
                              </a:lnTo>
                              <a:lnTo>
                                <a:pt x="0" y="12192"/>
                              </a:lnTo>
                              <a:lnTo>
                                <a:pt x="3614915" y="12192"/>
                              </a:lnTo>
                              <a:lnTo>
                                <a:pt x="3614915" y="0"/>
                              </a:lnTo>
                              <a:close/>
                            </a:path>
                            <a:path w="5215255" h="12700">
                              <a:moveTo>
                                <a:pt x="5215128" y="0"/>
                              </a:moveTo>
                              <a:lnTo>
                                <a:pt x="3614928" y="0"/>
                              </a:lnTo>
                              <a:lnTo>
                                <a:pt x="3614928" y="12192"/>
                              </a:lnTo>
                              <a:lnTo>
                                <a:pt x="5215128" y="12192"/>
                              </a:lnTo>
                              <a:lnTo>
                                <a:pt x="5215128"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shape style="position:absolute;margin-left:113.520004pt;margin-top:12.699974pt;width:410.65pt;height:1pt;mso-position-horizontal-relative:page;mso-position-vertical-relative:paragraph;z-index:-15725056;mso-wrap-distance-left:0;mso-wrap-distance-right:0" id="docshape7" coordorigin="2270,254" coordsize="8213,20" path="m7963,254l7958,254,7944,254,5909,254,5904,254,5894,254,4032,254,4027,254,4013,254,2270,254,2270,273,4013,273,4027,273,4032,273,5894,273,5904,273,5909,273,7944,273,7958,273,7963,273,7963,254xm10483,254l7963,254,7963,273,10483,273,10483,254xe" filled="true" fillcolor="#4e80bc" stroked="false">
                <v:path arrowok="t"/>
                <v:fill type="solid"/>
                <w10:wrap type="topAndBottom"/>
              </v:shape>
            </w:pict>
          </mc:Fallback>
        </mc:AlternateContent>
      </w:r>
    </w:p>
    <w:p>
      <w:pPr>
        <w:pStyle w:val="BodyText"/>
        <w:rPr>
          <w:b/>
        </w:rPr>
      </w:pPr>
    </w:p>
    <w:p>
      <w:pPr>
        <w:pStyle w:val="BodyText"/>
        <w:spacing w:before="13"/>
        <w:rPr>
          <w:b/>
        </w:rPr>
      </w:pPr>
    </w:p>
    <w:p>
      <w:pPr>
        <w:pStyle w:val="BodyText"/>
        <w:spacing w:line="244" w:lineRule="auto"/>
        <w:ind w:left="665" w:right="1979"/>
      </w:pPr>
      <w:r>
        <w:rPr>
          <w:vertAlign w:val="superscript"/>
        </w:rPr>
        <w:t>a,</w:t>
      </w:r>
      <w:r>
        <w:rPr>
          <w:spacing w:val="-10"/>
          <w:vertAlign w:val="baseline"/>
        </w:rPr>
        <w:t> </w:t>
      </w:r>
      <w:r>
        <w:rPr>
          <w:vertAlign w:val="superscript"/>
        </w:rPr>
        <w:t>b</w:t>
      </w:r>
      <w:r>
        <w:rPr>
          <w:vertAlign w:val="baseline"/>
        </w:rPr>
        <w:t> = values with different</w:t>
      </w:r>
      <w:r>
        <w:rPr>
          <w:spacing w:val="16"/>
          <w:vertAlign w:val="baseline"/>
        </w:rPr>
        <w:t> </w:t>
      </w:r>
      <w:r>
        <w:rPr>
          <w:vertAlign w:val="baseline"/>
        </w:rPr>
        <w:t>superscript letters</w:t>
      </w:r>
      <w:r>
        <w:rPr>
          <w:spacing w:val="15"/>
          <w:vertAlign w:val="baseline"/>
        </w:rPr>
        <w:t> </w:t>
      </w:r>
      <w:r>
        <w:rPr>
          <w:vertAlign w:val="baseline"/>
        </w:rPr>
        <w:t>indicate significance at P</w:t>
      </w:r>
      <w:r>
        <w:rPr>
          <w:spacing w:val="16"/>
          <w:vertAlign w:val="baseline"/>
        </w:rPr>
        <w:t> </w:t>
      </w:r>
      <w:r>
        <w:rPr>
          <w:vertAlign w:val="baseline"/>
        </w:rPr>
        <w:t>&lt; 0.05</w:t>
      </w:r>
      <w:r>
        <w:rPr>
          <w:spacing w:val="40"/>
          <w:vertAlign w:val="baseline"/>
        </w:rPr>
        <w:t> </w:t>
      </w:r>
      <w:r>
        <w:rPr>
          <w:vertAlign w:val="baseline"/>
        </w:rPr>
        <w:t>n = 5</w:t>
      </w:r>
    </w:p>
    <w:p>
      <w:pPr>
        <w:spacing w:after="0" w:line="244" w:lineRule="auto"/>
        <w:sectPr>
          <w:pgSz w:w="12240" w:h="15840"/>
          <w:pgMar w:header="0" w:footer="916" w:top="1260" w:bottom="1100" w:left="1720" w:right="960"/>
        </w:sectPr>
      </w:pPr>
    </w:p>
    <w:p>
      <w:pPr>
        <w:pStyle w:val="ListParagraph"/>
        <w:numPr>
          <w:ilvl w:val="2"/>
          <w:numId w:val="24"/>
        </w:numPr>
        <w:tabs>
          <w:tab w:pos="1171" w:val="left" w:leader="none"/>
        </w:tabs>
        <w:spacing w:line="491" w:lineRule="auto" w:before="80" w:after="0"/>
        <w:ind w:left="665" w:right="897" w:firstLine="0"/>
        <w:jc w:val="left"/>
        <w:rPr>
          <w:sz w:val="22"/>
        </w:rPr>
      </w:pPr>
      <w:r>
        <w:rPr>
          <w:b/>
          <w:sz w:val="22"/>
        </w:rPr>
        <w:t>Influence of Carbon monoxide exposure on learning/acquisition test (Day-1) </w:t>
      </w:r>
      <w:r>
        <w:rPr>
          <w:sz w:val="22"/>
        </w:rPr>
        <w:t>When TLs of the control and experimental</w:t>
      </w:r>
      <w:r>
        <w:rPr>
          <w:spacing w:val="26"/>
          <w:sz w:val="22"/>
        </w:rPr>
        <w:t> </w:t>
      </w:r>
      <w:r>
        <w:rPr>
          <w:sz w:val="22"/>
        </w:rPr>
        <w:t>groups were compared in the three exposure</w:t>
      </w:r>
      <w:r>
        <w:rPr>
          <w:spacing w:val="40"/>
          <w:sz w:val="22"/>
        </w:rPr>
        <w:t> </w:t>
      </w:r>
      <w:r>
        <w:rPr>
          <w:sz w:val="22"/>
        </w:rPr>
        <w:t>periods,</w:t>
      </w:r>
      <w:r>
        <w:rPr>
          <w:spacing w:val="40"/>
          <w:sz w:val="22"/>
        </w:rPr>
        <w:t> </w:t>
      </w:r>
      <w:r>
        <w:rPr>
          <w:sz w:val="22"/>
        </w:rPr>
        <w:t>only</w:t>
      </w:r>
      <w:r>
        <w:rPr>
          <w:spacing w:val="31"/>
          <w:sz w:val="22"/>
        </w:rPr>
        <w:t> </w:t>
      </w:r>
      <w:r>
        <w:rPr>
          <w:sz w:val="22"/>
        </w:rPr>
        <w:t>the</w:t>
      </w:r>
      <w:r>
        <w:rPr>
          <w:spacing w:val="40"/>
          <w:sz w:val="22"/>
        </w:rPr>
        <w:t> </w:t>
      </w:r>
      <w:r>
        <w:rPr>
          <w:sz w:val="22"/>
        </w:rPr>
        <w:t>30</w:t>
      </w:r>
      <w:r>
        <w:rPr>
          <w:spacing w:val="40"/>
          <w:sz w:val="22"/>
        </w:rPr>
        <w:t> </w:t>
      </w:r>
      <w:r>
        <w:rPr>
          <w:sz w:val="22"/>
        </w:rPr>
        <w:t>minutes</w:t>
      </w:r>
      <w:r>
        <w:rPr>
          <w:spacing w:val="38"/>
          <w:sz w:val="22"/>
        </w:rPr>
        <w:t> </w:t>
      </w:r>
      <w:r>
        <w:rPr>
          <w:sz w:val="22"/>
        </w:rPr>
        <w:t>and</w:t>
      </w:r>
      <w:r>
        <w:rPr>
          <w:spacing w:val="40"/>
          <w:sz w:val="22"/>
        </w:rPr>
        <w:t> </w:t>
      </w:r>
      <w:r>
        <w:rPr>
          <w:sz w:val="22"/>
        </w:rPr>
        <w:t>1</w:t>
      </w:r>
      <w:r>
        <w:rPr>
          <w:spacing w:val="40"/>
          <w:sz w:val="22"/>
        </w:rPr>
        <w:t> </w:t>
      </w:r>
      <w:r>
        <w:rPr>
          <w:sz w:val="22"/>
        </w:rPr>
        <w:t>hour</w:t>
      </w:r>
      <w:r>
        <w:rPr>
          <w:spacing w:val="40"/>
          <w:sz w:val="22"/>
        </w:rPr>
        <w:t> </w:t>
      </w:r>
      <w:r>
        <w:rPr>
          <w:sz w:val="22"/>
        </w:rPr>
        <w:t>exposure</w:t>
      </w:r>
      <w:r>
        <w:rPr>
          <w:spacing w:val="40"/>
          <w:sz w:val="22"/>
        </w:rPr>
        <w:t> </w:t>
      </w:r>
      <w:r>
        <w:rPr>
          <w:sz w:val="22"/>
        </w:rPr>
        <w:t>periods</w:t>
      </w:r>
      <w:r>
        <w:rPr>
          <w:spacing w:val="40"/>
          <w:sz w:val="22"/>
        </w:rPr>
        <w:t> </w:t>
      </w:r>
      <w:r>
        <w:rPr>
          <w:sz w:val="22"/>
        </w:rPr>
        <w:t>showed</w:t>
      </w:r>
      <w:r>
        <w:rPr>
          <w:spacing w:val="40"/>
          <w:sz w:val="22"/>
        </w:rPr>
        <w:t> </w:t>
      </w:r>
      <w:r>
        <w:rPr>
          <w:sz w:val="22"/>
        </w:rPr>
        <w:t>significant</w:t>
      </w:r>
      <w:r>
        <w:rPr>
          <w:spacing w:val="40"/>
          <w:sz w:val="22"/>
        </w:rPr>
        <w:t> </w:t>
      </w:r>
      <w:r>
        <w:rPr>
          <w:sz w:val="22"/>
        </w:rPr>
        <w:t>change with</w:t>
      </w:r>
      <w:r>
        <w:rPr>
          <w:spacing w:val="24"/>
          <w:sz w:val="22"/>
        </w:rPr>
        <w:t> </w:t>
      </w:r>
      <w:r>
        <w:rPr>
          <w:sz w:val="22"/>
        </w:rPr>
        <w:t>P</w:t>
      </w:r>
      <w:r>
        <w:rPr>
          <w:spacing w:val="32"/>
          <w:sz w:val="22"/>
        </w:rPr>
        <w:t> </w:t>
      </w:r>
      <w:r>
        <w:rPr>
          <w:sz w:val="22"/>
        </w:rPr>
        <w:t>values</w:t>
      </w:r>
      <w:r>
        <w:rPr>
          <w:spacing w:val="25"/>
          <w:sz w:val="22"/>
        </w:rPr>
        <w:t> </w:t>
      </w:r>
      <w:r>
        <w:rPr>
          <w:sz w:val="22"/>
        </w:rPr>
        <w:t>of</w:t>
      </w:r>
      <w:r>
        <w:rPr>
          <w:spacing w:val="23"/>
          <w:sz w:val="22"/>
        </w:rPr>
        <w:t> </w:t>
      </w:r>
      <w:r>
        <w:rPr>
          <w:sz w:val="22"/>
        </w:rPr>
        <w:t>0.023</w:t>
      </w:r>
      <w:r>
        <w:rPr>
          <w:spacing w:val="29"/>
          <w:sz w:val="22"/>
        </w:rPr>
        <w:t> </w:t>
      </w:r>
      <w:r>
        <w:rPr>
          <w:sz w:val="22"/>
        </w:rPr>
        <w:t>and</w:t>
      </w:r>
      <w:r>
        <w:rPr>
          <w:spacing w:val="24"/>
          <w:sz w:val="22"/>
        </w:rPr>
        <w:t> </w:t>
      </w:r>
      <w:r>
        <w:rPr>
          <w:sz w:val="22"/>
        </w:rPr>
        <w:t>0.001,</w:t>
      </w:r>
      <w:r>
        <w:rPr>
          <w:spacing w:val="34"/>
          <w:sz w:val="22"/>
        </w:rPr>
        <w:t> </w:t>
      </w:r>
      <w:r>
        <w:rPr>
          <w:sz w:val="22"/>
        </w:rPr>
        <w:t>respectively since</w:t>
      </w:r>
      <w:r>
        <w:rPr>
          <w:spacing w:val="27"/>
          <w:sz w:val="22"/>
        </w:rPr>
        <w:t> </w:t>
      </w:r>
      <w:r>
        <w:rPr>
          <w:sz w:val="22"/>
        </w:rPr>
        <w:t>P</w:t>
      </w:r>
      <w:r>
        <w:rPr>
          <w:spacing w:val="32"/>
          <w:sz w:val="22"/>
        </w:rPr>
        <w:t> </w:t>
      </w:r>
      <w:r>
        <w:rPr>
          <w:sz w:val="22"/>
        </w:rPr>
        <w:t>&lt;</w:t>
      </w:r>
      <w:r>
        <w:rPr>
          <w:spacing w:val="24"/>
          <w:sz w:val="22"/>
        </w:rPr>
        <w:t> </w:t>
      </w:r>
      <w:r>
        <w:rPr>
          <w:sz w:val="22"/>
        </w:rPr>
        <w:t>0.05.</w:t>
      </w:r>
      <w:r>
        <w:rPr>
          <w:spacing w:val="28"/>
          <w:sz w:val="22"/>
        </w:rPr>
        <w:t> </w:t>
      </w:r>
      <w:r>
        <w:rPr>
          <w:sz w:val="22"/>
        </w:rPr>
        <w:t>Although</w:t>
      </w:r>
      <w:r>
        <w:rPr>
          <w:spacing w:val="29"/>
          <w:sz w:val="22"/>
        </w:rPr>
        <w:t> </w:t>
      </w:r>
      <w:r>
        <w:rPr>
          <w:sz w:val="22"/>
        </w:rPr>
        <w:t>latency of</w:t>
      </w:r>
      <w:r>
        <w:rPr>
          <w:spacing w:val="23"/>
          <w:sz w:val="22"/>
        </w:rPr>
        <w:t> </w:t>
      </w:r>
      <w:r>
        <w:rPr>
          <w:sz w:val="22"/>
        </w:rPr>
        <w:t>the experimental</w:t>
      </w:r>
      <w:r>
        <w:rPr>
          <w:spacing w:val="31"/>
          <w:sz w:val="22"/>
        </w:rPr>
        <w:t> </w:t>
      </w:r>
      <w:r>
        <w:rPr>
          <w:sz w:val="22"/>
        </w:rPr>
        <w:t>group</w:t>
      </w:r>
      <w:r>
        <w:rPr>
          <w:spacing w:val="29"/>
          <w:sz w:val="22"/>
        </w:rPr>
        <w:t> </w:t>
      </w:r>
      <w:r>
        <w:rPr>
          <w:sz w:val="22"/>
        </w:rPr>
        <w:t>drop</w:t>
      </w:r>
      <w:r>
        <w:rPr>
          <w:spacing w:val="29"/>
          <w:sz w:val="22"/>
        </w:rPr>
        <w:t> </w:t>
      </w:r>
      <w:r>
        <w:rPr>
          <w:sz w:val="22"/>
        </w:rPr>
        <w:t>to</w:t>
      </w:r>
      <w:r>
        <w:rPr>
          <w:spacing w:val="29"/>
          <w:sz w:val="22"/>
        </w:rPr>
        <w:t> </w:t>
      </w:r>
      <w:r>
        <w:rPr>
          <w:sz w:val="22"/>
        </w:rPr>
        <w:t>13.4</w:t>
      </w:r>
      <w:r>
        <w:rPr>
          <w:spacing w:val="34"/>
          <w:sz w:val="22"/>
        </w:rPr>
        <w:t> </w:t>
      </w:r>
      <w:r>
        <w:rPr>
          <w:sz w:val="22"/>
        </w:rPr>
        <w:t>±</w:t>
      </w:r>
      <w:r>
        <w:rPr>
          <w:spacing w:val="22"/>
          <w:sz w:val="22"/>
        </w:rPr>
        <w:t> </w:t>
      </w:r>
      <w:r>
        <w:rPr>
          <w:sz w:val="22"/>
        </w:rPr>
        <w:t>1.5</w:t>
      </w:r>
      <w:r>
        <w:rPr>
          <w:spacing w:val="31"/>
          <w:sz w:val="22"/>
        </w:rPr>
        <w:t> </w:t>
      </w:r>
      <w:r>
        <w:rPr>
          <w:sz w:val="22"/>
        </w:rPr>
        <w:t>seconds during the</w:t>
      </w:r>
      <w:r>
        <w:rPr>
          <w:spacing w:val="26"/>
          <w:sz w:val="22"/>
        </w:rPr>
        <w:t> </w:t>
      </w:r>
      <w:r>
        <w:rPr>
          <w:sz w:val="22"/>
        </w:rPr>
        <w:t>30</w:t>
      </w:r>
      <w:r>
        <w:rPr>
          <w:spacing w:val="29"/>
          <w:sz w:val="22"/>
        </w:rPr>
        <w:t> </w:t>
      </w:r>
      <w:r>
        <w:rPr>
          <w:sz w:val="22"/>
        </w:rPr>
        <w:t>minutes</w:t>
      </w:r>
      <w:r>
        <w:rPr>
          <w:spacing w:val="24"/>
          <w:sz w:val="22"/>
        </w:rPr>
        <w:t> </w:t>
      </w:r>
      <w:r>
        <w:rPr>
          <w:sz w:val="22"/>
        </w:rPr>
        <w:t>of</w:t>
      </w:r>
      <w:r>
        <w:rPr>
          <w:spacing w:val="22"/>
          <w:sz w:val="22"/>
        </w:rPr>
        <w:t> </w:t>
      </w:r>
      <w:r>
        <w:rPr>
          <w:sz w:val="22"/>
        </w:rPr>
        <w:t>CO</w:t>
      </w:r>
      <w:r>
        <w:rPr>
          <w:spacing w:val="26"/>
          <w:sz w:val="22"/>
        </w:rPr>
        <w:t> </w:t>
      </w:r>
      <w:r>
        <w:rPr>
          <w:sz w:val="22"/>
        </w:rPr>
        <w:t>exposure, that</w:t>
      </w:r>
      <w:r>
        <w:rPr>
          <w:spacing w:val="34"/>
          <w:sz w:val="22"/>
        </w:rPr>
        <w:t> </w:t>
      </w:r>
      <w:r>
        <w:rPr>
          <w:sz w:val="22"/>
        </w:rPr>
        <w:t>of</w:t>
      </w:r>
      <w:r>
        <w:rPr>
          <w:spacing w:val="31"/>
          <w:sz w:val="22"/>
        </w:rPr>
        <w:t> </w:t>
      </w:r>
      <w:r>
        <w:rPr>
          <w:sz w:val="22"/>
        </w:rPr>
        <w:t>1</w:t>
      </w:r>
      <w:r>
        <w:rPr>
          <w:spacing w:val="37"/>
          <w:sz w:val="22"/>
        </w:rPr>
        <w:t> </w:t>
      </w:r>
      <w:r>
        <w:rPr>
          <w:sz w:val="22"/>
        </w:rPr>
        <w:t>hour</w:t>
      </w:r>
      <w:r>
        <w:rPr>
          <w:spacing w:val="37"/>
          <w:sz w:val="22"/>
        </w:rPr>
        <w:t> </w:t>
      </w:r>
      <w:r>
        <w:rPr>
          <w:sz w:val="22"/>
        </w:rPr>
        <w:t>exposure</w:t>
      </w:r>
      <w:r>
        <w:rPr>
          <w:spacing w:val="35"/>
          <w:sz w:val="22"/>
        </w:rPr>
        <w:t> </w:t>
      </w:r>
      <w:r>
        <w:rPr>
          <w:sz w:val="22"/>
        </w:rPr>
        <w:t>period</w:t>
      </w:r>
      <w:r>
        <w:rPr>
          <w:spacing w:val="37"/>
          <w:sz w:val="22"/>
        </w:rPr>
        <w:t> </w:t>
      </w:r>
      <w:r>
        <w:rPr>
          <w:sz w:val="22"/>
        </w:rPr>
        <w:t>increases</w:t>
      </w:r>
      <w:r>
        <w:rPr>
          <w:spacing w:val="33"/>
          <w:sz w:val="22"/>
        </w:rPr>
        <w:t> </w:t>
      </w:r>
      <w:r>
        <w:rPr>
          <w:sz w:val="22"/>
        </w:rPr>
        <w:t>to</w:t>
      </w:r>
      <w:r>
        <w:rPr>
          <w:spacing w:val="40"/>
          <w:sz w:val="22"/>
        </w:rPr>
        <w:t> </w:t>
      </w:r>
      <w:r>
        <w:rPr>
          <w:sz w:val="22"/>
        </w:rPr>
        <w:t>73</w:t>
      </w:r>
      <w:r>
        <w:rPr>
          <w:spacing w:val="40"/>
          <w:sz w:val="22"/>
        </w:rPr>
        <w:t> </w:t>
      </w:r>
      <w:r>
        <w:rPr>
          <w:sz w:val="22"/>
        </w:rPr>
        <w:t>±</w:t>
      </w:r>
      <w:r>
        <w:rPr>
          <w:spacing w:val="30"/>
          <w:sz w:val="22"/>
        </w:rPr>
        <w:t> </w:t>
      </w:r>
      <w:r>
        <w:rPr>
          <w:sz w:val="22"/>
        </w:rPr>
        <w:t>8.3</w:t>
      </w:r>
      <w:r>
        <w:rPr>
          <w:spacing w:val="39"/>
          <w:sz w:val="22"/>
        </w:rPr>
        <w:t> </w:t>
      </w:r>
      <w:r>
        <w:rPr>
          <w:sz w:val="22"/>
        </w:rPr>
        <w:t>seconds</w:t>
      </w:r>
      <w:r>
        <w:rPr>
          <w:spacing w:val="28"/>
          <w:sz w:val="22"/>
        </w:rPr>
        <w:t> </w:t>
      </w:r>
      <w:r>
        <w:rPr>
          <w:sz w:val="22"/>
        </w:rPr>
        <w:t>when</w:t>
      </w:r>
      <w:r>
        <w:rPr>
          <w:spacing w:val="32"/>
          <w:sz w:val="22"/>
        </w:rPr>
        <w:t> </w:t>
      </w:r>
      <w:r>
        <w:rPr>
          <w:sz w:val="22"/>
        </w:rPr>
        <w:t>compared</w:t>
      </w:r>
      <w:r>
        <w:rPr>
          <w:spacing w:val="40"/>
          <w:sz w:val="22"/>
        </w:rPr>
        <w:t> </w:t>
      </w:r>
      <w:r>
        <w:rPr>
          <w:sz w:val="22"/>
        </w:rPr>
        <w:t>to</w:t>
      </w:r>
      <w:r>
        <w:rPr>
          <w:spacing w:val="37"/>
          <w:sz w:val="22"/>
        </w:rPr>
        <w:t> </w:t>
      </w:r>
      <w:r>
        <w:rPr>
          <w:sz w:val="22"/>
        </w:rPr>
        <w:t>their controls</w:t>
      </w:r>
      <w:r>
        <w:rPr>
          <w:spacing w:val="65"/>
          <w:sz w:val="22"/>
        </w:rPr>
        <w:t> </w:t>
      </w:r>
      <w:r>
        <w:rPr>
          <w:sz w:val="22"/>
        </w:rPr>
        <w:t>(28.6</w:t>
      </w:r>
      <w:r>
        <w:rPr>
          <w:spacing w:val="69"/>
          <w:sz w:val="22"/>
        </w:rPr>
        <w:t> </w:t>
      </w:r>
      <w:r>
        <w:rPr>
          <w:sz w:val="22"/>
        </w:rPr>
        <w:t>±</w:t>
      </w:r>
      <w:r>
        <w:rPr>
          <w:spacing w:val="68"/>
          <w:sz w:val="22"/>
        </w:rPr>
        <w:t> </w:t>
      </w:r>
      <w:r>
        <w:rPr>
          <w:sz w:val="22"/>
        </w:rPr>
        <w:t>5.2</w:t>
      </w:r>
      <w:r>
        <w:rPr>
          <w:spacing w:val="75"/>
          <w:sz w:val="22"/>
        </w:rPr>
        <w:t> </w:t>
      </w:r>
      <w:r>
        <w:rPr>
          <w:sz w:val="22"/>
        </w:rPr>
        <w:t>sec.)</w:t>
      </w:r>
      <w:r>
        <w:rPr>
          <w:spacing w:val="73"/>
          <w:sz w:val="22"/>
        </w:rPr>
        <w:t> </w:t>
      </w:r>
      <w:r>
        <w:rPr>
          <w:sz w:val="22"/>
        </w:rPr>
        <w:t>and</w:t>
      </w:r>
      <w:r>
        <w:rPr>
          <w:spacing w:val="69"/>
          <w:sz w:val="22"/>
        </w:rPr>
        <w:t> </w:t>
      </w:r>
      <w:r>
        <w:rPr>
          <w:sz w:val="22"/>
        </w:rPr>
        <w:t>(21.8</w:t>
      </w:r>
      <w:r>
        <w:rPr>
          <w:spacing w:val="69"/>
          <w:sz w:val="22"/>
        </w:rPr>
        <w:t> </w:t>
      </w:r>
      <w:r>
        <w:rPr>
          <w:sz w:val="22"/>
        </w:rPr>
        <w:t>±</w:t>
      </w:r>
      <w:r>
        <w:rPr>
          <w:spacing w:val="68"/>
          <w:sz w:val="22"/>
        </w:rPr>
        <w:t> </w:t>
      </w:r>
      <w:r>
        <w:rPr>
          <w:sz w:val="22"/>
        </w:rPr>
        <w:t>4.4</w:t>
      </w:r>
      <w:r>
        <w:rPr>
          <w:spacing w:val="74"/>
          <w:sz w:val="22"/>
        </w:rPr>
        <w:t> </w:t>
      </w:r>
      <w:r>
        <w:rPr>
          <w:sz w:val="22"/>
        </w:rPr>
        <w:t>sec.)</w:t>
      </w:r>
      <w:r>
        <w:rPr>
          <w:spacing w:val="68"/>
          <w:sz w:val="22"/>
        </w:rPr>
        <w:t> </w:t>
      </w:r>
      <w:r>
        <w:rPr>
          <w:sz w:val="22"/>
        </w:rPr>
        <w:t>respectively.</w:t>
      </w:r>
      <w:r>
        <w:rPr>
          <w:spacing w:val="78"/>
          <w:sz w:val="22"/>
        </w:rPr>
        <w:t> </w:t>
      </w:r>
      <w:r>
        <w:rPr>
          <w:sz w:val="22"/>
        </w:rPr>
        <w:t>It</w:t>
      </w:r>
      <w:r>
        <w:rPr>
          <w:spacing w:val="67"/>
          <w:sz w:val="22"/>
        </w:rPr>
        <w:t> </w:t>
      </w:r>
      <w:r>
        <w:rPr>
          <w:sz w:val="22"/>
        </w:rPr>
        <w:t>may</w:t>
      </w:r>
      <w:r>
        <w:rPr>
          <w:spacing w:val="64"/>
          <w:sz w:val="22"/>
        </w:rPr>
        <w:t> </w:t>
      </w:r>
      <w:r>
        <w:rPr>
          <w:sz w:val="22"/>
        </w:rPr>
        <w:t>thus</w:t>
      </w:r>
      <w:r>
        <w:rPr>
          <w:spacing w:val="65"/>
          <w:sz w:val="22"/>
        </w:rPr>
        <w:t> </w:t>
      </w:r>
      <w:r>
        <w:rPr>
          <w:sz w:val="22"/>
        </w:rPr>
        <w:t>suggest improvement</w:t>
      </w:r>
      <w:r>
        <w:rPr>
          <w:spacing w:val="38"/>
          <w:sz w:val="22"/>
        </w:rPr>
        <w:t> </w:t>
      </w:r>
      <w:r>
        <w:rPr>
          <w:sz w:val="22"/>
        </w:rPr>
        <w:t>of</w:t>
      </w:r>
      <w:r>
        <w:rPr>
          <w:spacing w:val="34"/>
          <w:sz w:val="22"/>
        </w:rPr>
        <w:t> </w:t>
      </w:r>
      <w:r>
        <w:rPr>
          <w:sz w:val="22"/>
        </w:rPr>
        <w:t>learning</w:t>
      </w:r>
      <w:r>
        <w:rPr>
          <w:spacing w:val="40"/>
          <w:sz w:val="22"/>
        </w:rPr>
        <w:t> </w:t>
      </w:r>
      <w:r>
        <w:rPr>
          <w:sz w:val="22"/>
        </w:rPr>
        <w:t>at</w:t>
      </w:r>
      <w:r>
        <w:rPr>
          <w:spacing w:val="38"/>
          <w:sz w:val="22"/>
        </w:rPr>
        <w:t> </w:t>
      </w:r>
      <w:r>
        <w:rPr>
          <w:sz w:val="22"/>
        </w:rPr>
        <w:t>shorter</w:t>
      </w:r>
      <w:r>
        <w:rPr>
          <w:spacing w:val="40"/>
          <w:sz w:val="22"/>
        </w:rPr>
        <w:t> </w:t>
      </w:r>
      <w:r>
        <w:rPr>
          <w:sz w:val="22"/>
        </w:rPr>
        <w:t>period</w:t>
      </w:r>
      <w:r>
        <w:rPr>
          <w:spacing w:val="36"/>
          <w:sz w:val="22"/>
        </w:rPr>
        <w:t> </w:t>
      </w:r>
      <w:r>
        <w:rPr>
          <w:sz w:val="22"/>
        </w:rPr>
        <w:t>of</w:t>
      </w:r>
      <w:r>
        <w:rPr>
          <w:spacing w:val="34"/>
          <w:sz w:val="22"/>
        </w:rPr>
        <w:t> </w:t>
      </w:r>
      <w:r>
        <w:rPr>
          <w:sz w:val="22"/>
        </w:rPr>
        <w:t>CO</w:t>
      </w:r>
      <w:r>
        <w:rPr>
          <w:spacing w:val="38"/>
          <w:sz w:val="22"/>
        </w:rPr>
        <w:t> </w:t>
      </w:r>
      <w:r>
        <w:rPr>
          <w:sz w:val="22"/>
        </w:rPr>
        <w:t>exposure</w:t>
      </w:r>
      <w:r>
        <w:rPr>
          <w:spacing w:val="33"/>
          <w:sz w:val="22"/>
        </w:rPr>
        <w:t> </w:t>
      </w:r>
      <w:r>
        <w:rPr>
          <w:sz w:val="22"/>
        </w:rPr>
        <w:t>(30</w:t>
      </w:r>
      <w:r>
        <w:rPr>
          <w:spacing w:val="40"/>
          <w:sz w:val="22"/>
        </w:rPr>
        <w:t> </w:t>
      </w:r>
      <w:r>
        <w:rPr>
          <w:sz w:val="22"/>
        </w:rPr>
        <w:t>minute)</w:t>
      </w:r>
      <w:r>
        <w:rPr>
          <w:spacing w:val="40"/>
          <w:sz w:val="22"/>
        </w:rPr>
        <w:t> </w:t>
      </w:r>
      <w:r>
        <w:rPr>
          <w:sz w:val="22"/>
        </w:rPr>
        <w:t>as</w:t>
      </w:r>
      <w:r>
        <w:rPr>
          <w:spacing w:val="31"/>
          <w:sz w:val="22"/>
        </w:rPr>
        <w:t> </w:t>
      </w:r>
      <w:r>
        <w:rPr>
          <w:sz w:val="22"/>
        </w:rPr>
        <w:t>opposed</w:t>
      </w:r>
      <w:r>
        <w:rPr>
          <w:spacing w:val="36"/>
          <w:sz w:val="22"/>
        </w:rPr>
        <w:t> </w:t>
      </w:r>
      <w:r>
        <w:rPr>
          <w:sz w:val="22"/>
        </w:rPr>
        <w:t>to impairment</w:t>
      </w:r>
      <w:r>
        <w:rPr>
          <w:spacing w:val="40"/>
          <w:sz w:val="22"/>
        </w:rPr>
        <w:t> </w:t>
      </w:r>
      <w:r>
        <w:rPr>
          <w:sz w:val="22"/>
        </w:rPr>
        <w:t>of</w:t>
      </w:r>
      <w:r>
        <w:rPr>
          <w:spacing w:val="37"/>
          <w:sz w:val="22"/>
        </w:rPr>
        <w:t> </w:t>
      </w:r>
      <w:r>
        <w:rPr>
          <w:sz w:val="22"/>
        </w:rPr>
        <w:t>learning</w:t>
      </w:r>
      <w:r>
        <w:rPr>
          <w:spacing w:val="38"/>
          <w:sz w:val="22"/>
        </w:rPr>
        <w:t> </w:t>
      </w:r>
      <w:r>
        <w:rPr>
          <w:sz w:val="22"/>
        </w:rPr>
        <w:t>ability</w:t>
      </w:r>
      <w:r>
        <w:rPr>
          <w:spacing w:val="33"/>
          <w:sz w:val="22"/>
        </w:rPr>
        <w:t> </w:t>
      </w:r>
      <w:r>
        <w:rPr>
          <w:sz w:val="22"/>
        </w:rPr>
        <w:t>at</w:t>
      </w:r>
      <w:r>
        <w:rPr>
          <w:spacing w:val="40"/>
          <w:sz w:val="22"/>
        </w:rPr>
        <w:t> </w:t>
      </w:r>
      <w:r>
        <w:rPr>
          <w:sz w:val="22"/>
        </w:rPr>
        <w:t>longer</w:t>
      </w:r>
      <w:r>
        <w:rPr>
          <w:spacing w:val="40"/>
          <w:sz w:val="22"/>
        </w:rPr>
        <w:t> </w:t>
      </w:r>
      <w:r>
        <w:rPr>
          <w:sz w:val="22"/>
        </w:rPr>
        <w:t>period</w:t>
      </w:r>
      <w:r>
        <w:rPr>
          <w:spacing w:val="37"/>
          <w:sz w:val="22"/>
        </w:rPr>
        <w:t> </w:t>
      </w:r>
      <w:r>
        <w:rPr>
          <w:sz w:val="22"/>
        </w:rPr>
        <w:t>of</w:t>
      </w:r>
      <w:r>
        <w:rPr>
          <w:spacing w:val="31"/>
          <w:sz w:val="22"/>
        </w:rPr>
        <w:t> </w:t>
      </w:r>
      <w:r>
        <w:rPr>
          <w:sz w:val="22"/>
        </w:rPr>
        <w:t>CO</w:t>
      </w:r>
      <w:r>
        <w:rPr>
          <w:spacing w:val="40"/>
          <w:sz w:val="22"/>
        </w:rPr>
        <w:t> </w:t>
      </w:r>
      <w:r>
        <w:rPr>
          <w:sz w:val="22"/>
        </w:rPr>
        <w:t>exposure</w:t>
      </w:r>
      <w:r>
        <w:rPr>
          <w:spacing w:val="30"/>
          <w:sz w:val="22"/>
        </w:rPr>
        <w:t> </w:t>
      </w:r>
      <w:r>
        <w:rPr>
          <w:sz w:val="22"/>
        </w:rPr>
        <w:t>(1</w:t>
      </w:r>
      <w:r>
        <w:rPr>
          <w:spacing w:val="40"/>
          <w:sz w:val="22"/>
        </w:rPr>
        <w:t> </w:t>
      </w:r>
      <w:r>
        <w:rPr>
          <w:sz w:val="22"/>
        </w:rPr>
        <w:t>and</w:t>
      </w:r>
      <w:r>
        <w:rPr>
          <w:spacing w:val="37"/>
          <w:sz w:val="22"/>
        </w:rPr>
        <w:t> </w:t>
      </w:r>
      <w:r>
        <w:rPr>
          <w:sz w:val="22"/>
        </w:rPr>
        <w:t>2</w:t>
      </w:r>
      <w:r>
        <w:rPr>
          <w:spacing w:val="40"/>
          <w:sz w:val="22"/>
        </w:rPr>
        <w:t> </w:t>
      </w:r>
      <w:r>
        <w:rPr>
          <w:sz w:val="22"/>
        </w:rPr>
        <w:t>hours)</w:t>
      </w:r>
      <w:r>
        <w:rPr>
          <w:spacing w:val="40"/>
          <w:sz w:val="22"/>
        </w:rPr>
        <w:t> </w:t>
      </w:r>
      <w:r>
        <w:rPr>
          <w:sz w:val="22"/>
        </w:rPr>
        <w:t>(Fig. </w:t>
      </w:r>
      <w:r>
        <w:rPr>
          <w:spacing w:val="-2"/>
          <w:sz w:val="22"/>
        </w:rPr>
        <w:t>4.1).</w:t>
      </w:r>
    </w:p>
    <w:p>
      <w:pPr>
        <w:spacing w:after="0" w:line="491" w:lineRule="auto"/>
        <w:jc w:val="left"/>
        <w:rPr>
          <w:sz w:val="22"/>
        </w:rPr>
        <w:sectPr>
          <w:pgSz w:w="12240" w:h="15840"/>
          <w:pgMar w:header="0" w:footer="916" w:top="1260" w:bottom="1100" w:left="1720" w:right="960"/>
        </w:sectPr>
      </w:pPr>
    </w:p>
    <w:p>
      <w:pPr>
        <w:spacing w:before="66"/>
        <w:ind w:left="1179" w:right="0" w:firstLine="0"/>
        <w:jc w:val="left"/>
        <w:rPr>
          <w:b/>
          <w:sz w:val="19"/>
        </w:rPr>
      </w:pPr>
      <w:r>
        <w:rPr/>
        <mc:AlternateContent>
          <mc:Choice Requires="wps">
            <w:drawing>
              <wp:anchor distT="0" distB="0" distL="0" distR="0" allowOverlap="1" layoutInCell="1" locked="0" behindDoc="1" simplePos="0" relativeHeight="486114816">
                <wp:simplePos x="0" y="0"/>
                <wp:positionH relativeFrom="page">
                  <wp:posOffset>4523232</wp:posOffset>
                </wp:positionH>
                <wp:positionV relativeFrom="paragraph">
                  <wp:posOffset>238465</wp:posOffset>
                </wp:positionV>
                <wp:extent cx="66040" cy="13208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66040" cy="132080"/>
                        </a:xfrm>
                        <a:prstGeom prst="rect">
                          <a:avLst/>
                        </a:prstGeom>
                      </wps:spPr>
                      <wps:txbx>
                        <w:txbxContent>
                          <w:p>
                            <w:pPr>
                              <w:spacing w:line="208" w:lineRule="exact" w:before="0"/>
                              <w:ind w:left="0" w:right="0" w:firstLine="0"/>
                              <w:jc w:val="left"/>
                              <w:rPr>
                                <w:rFonts w:ascii="Calibri"/>
                                <w:sz w:val="20"/>
                              </w:rPr>
                            </w:pPr>
                            <w:r>
                              <w:rPr>
                                <w:rFonts w:ascii="Calibri"/>
                                <w:spacing w:val="-10"/>
                                <w:sz w:val="20"/>
                              </w:rPr>
                              <w:t>*</w:t>
                            </w:r>
                          </w:p>
                        </w:txbxContent>
                      </wps:txbx>
                      <wps:bodyPr wrap="square" lIns="0" tIns="0" rIns="0" bIns="0" rtlCol="0">
                        <a:noAutofit/>
                      </wps:bodyPr>
                    </wps:wsp>
                  </a:graphicData>
                </a:graphic>
              </wp:anchor>
            </w:drawing>
          </mc:Choice>
          <mc:Fallback>
            <w:pict>
              <v:shape style="position:absolute;margin-left:356.160004pt;margin-top:18.776800pt;width:5.2pt;height:10.4pt;mso-position-horizontal-relative:page;mso-position-vertical-relative:paragraph;z-index:-17201664" type="#_x0000_t202" id="docshape8" filled="false" stroked="false">
                <v:textbox inset="0,0,0,0">
                  <w:txbxContent>
                    <w:p>
                      <w:pPr>
                        <w:spacing w:line="208" w:lineRule="exact" w:before="0"/>
                        <w:ind w:left="0" w:right="0" w:firstLine="0"/>
                        <w:jc w:val="left"/>
                        <w:rPr>
                          <w:rFonts w:ascii="Calibri"/>
                          <w:sz w:val="20"/>
                        </w:rPr>
                      </w:pPr>
                      <w:r>
                        <w:rPr>
                          <w:rFonts w:ascii="Calibri"/>
                          <w:spacing w:val="-10"/>
                          <w:sz w:val="20"/>
                        </w:rPr>
                        <w:t>*</w:t>
                      </w:r>
                    </w:p>
                  </w:txbxContent>
                </v:textbox>
                <w10:wrap type="none"/>
              </v:shape>
            </w:pict>
          </mc:Fallback>
        </mc:AlternateContent>
      </w:r>
      <w:r>
        <w:rPr/>
        <mc:AlternateContent>
          <mc:Choice Requires="wps">
            <w:drawing>
              <wp:anchor distT="0" distB="0" distL="0" distR="0" allowOverlap="1" layoutInCell="1" locked="0" behindDoc="1" simplePos="0" relativeHeight="486115328">
                <wp:simplePos x="0" y="0"/>
                <wp:positionH relativeFrom="page">
                  <wp:posOffset>4523232</wp:posOffset>
                </wp:positionH>
                <wp:positionV relativeFrom="paragraph">
                  <wp:posOffset>238465</wp:posOffset>
                </wp:positionV>
                <wp:extent cx="66040" cy="132080"/>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66040" cy="132080"/>
                        </a:xfrm>
                        <a:prstGeom prst="rect">
                          <a:avLst/>
                        </a:prstGeom>
                      </wps:spPr>
                      <wps:txbx>
                        <w:txbxContent>
                          <w:p>
                            <w:pPr>
                              <w:spacing w:line="208" w:lineRule="exact" w:before="0"/>
                              <w:ind w:left="0" w:right="0" w:firstLine="0"/>
                              <w:jc w:val="left"/>
                              <w:rPr>
                                <w:rFonts w:ascii="Calibri"/>
                                <w:sz w:val="20"/>
                              </w:rPr>
                            </w:pPr>
                            <w:r>
                              <w:rPr>
                                <w:rFonts w:ascii="Calibri"/>
                                <w:spacing w:val="-10"/>
                                <w:sz w:val="20"/>
                              </w:rPr>
                              <w:t>*</w:t>
                            </w:r>
                          </w:p>
                        </w:txbxContent>
                      </wps:txbx>
                      <wps:bodyPr wrap="square" lIns="0" tIns="0" rIns="0" bIns="0" rtlCol="0">
                        <a:noAutofit/>
                      </wps:bodyPr>
                    </wps:wsp>
                  </a:graphicData>
                </a:graphic>
              </wp:anchor>
            </w:drawing>
          </mc:Choice>
          <mc:Fallback>
            <w:pict>
              <v:shape style="position:absolute;margin-left:356.160004pt;margin-top:18.776800pt;width:5.2pt;height:10.4pt;mso-position-horizontal-relative:page;mso-position-vertical-relative:paragraph;z-index:-17201152" type="#_x0000_t202" id="docshape9" filled="false" stroked="false">
                <v:textbox inset="0,0,0,0">
                  <w:txbxContent>
                    <w:p>
                      <w:pPr>
                        <w:spacing w:line="208" w:lineRule="exact" w:before="0"/>
                        <w:ind w:left="0" w:right="0" w:firstLine="0"/>
                        <w:jc w:val="left"/>
                        <w:rPr>
                          <w:rFonts w:ascii="Calibri"/>
                          <w:sz w:val="20"/>
                        </w:rPr>
                      </w:pPr>
                      <w:r>
                        <w:rPr>
                          <w:rFonts w:ascii="Calibri"/>
                          <w:spacing w:val="-10"/>
                          <w:sz w:val="20"/>
                        </w:rPr>
                        <w:t>*</w:t>
                      </w:r>
                    </w:p>
                  </w:txbxContent>
                </v:textbox>
                <w10:wrap type="none"/>
              </v:shape>
            </w:pict>
          </mc:Fallback>
        </mc:AlternateContent>
      </w:r>
      <w:r>
        <w:rPr/>
        <mc:AlternateContent>
          <mc:Choice Requires="wps">
            <w:drawing>
              <wp:anchor distT="0" distB="0" distL="0" distR="0" allowOverlap="1" layoutInCell="1" locked="0" behindDoc="0" simplePos="0" relativeHeight="15733760">
                <wp:simplePos x="0" y="0"/>
                <wp:positionH relativeFrom="page">
                  <wp:posOffset>2018347</wp:posOffset>
                </wp:positionH>
                <wp:positionV relativeFrom="paragraph">
                  <wp:posOffset>38607</wp:posOffset>
                </wp:positionV>
                <wp:extent cx="4606290" cy="3133090"/>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4606290" cy="3133090"/>
                          <a:chExt cx="4606290" cy="3133090"/>
                        </a:xfrm>
                      </wpg:grpSpPr>
                      <wps:wsp>
                        <wps:cNvPr id="20" name="Graphic 20"/>
                        <wps:cNvSpPr/>
                        <wps:spPr>
                          <a:xfrm>
                            <a:off x="364616" y="2134933"/>
                            <a:ext cx="435609" cy="958850"/>
                          </a:xfrm>
                          <a:custGeom>
                            <a:avLst/>
                            <a:gdLst/>
                            <a:ahLst/>
                            <a:cxnLst/>
                            <a:rect l="l" t="t" r="r" b="b"/>
                            <a:pathLst>
                              <a:path w="435609" h="958850">
                                <a:moveTo>
                                  <a:pt x="435292" y="0"/>
                                </a:moveTo>
                                <a:lnTo>
                                  <a:pt x="0" y="0"/>
                                </a:lnTo>
                                <a:lnTo>
                                  <a:pt x="0" y="958786"/>
                                </a:lnTo>
                                <a:lnTo>
                                  <a:pt x="435292" y="958786"/>
                                </a:lnTo>
                                <a:lnTo>
                                  <a:pt x="435292" y="0"/>
                                </a:lnTo>
                                <a:close/>
                              </a:path>
                            </a:pathLst>
                          </a:custGeom>
                          <a:solidFill>
                            <a:srgbClr val="007F00"/>
                          </a:solidFill>
                        </wps:spPr>
                        <wps:bodyPr wrap="square" lIns="0" tIns="0" rIns="0" bIns="0" rtlCol="0">
                          <a:prstTxWarp prst="textNoShape">
                            <a:avLst/>
                          </a:prstTxWarp>
                          <a:noAutofit/>
                        </wps:bodyPr>
                      </wps:wsp>
                      <wps:wsp>
                        <wps:cNvPr id="21" name="Graphic 21"/>
                        <wps:cNvSpPr/>
                        <wps:spPr>
                          <a:xfrm>
                            <a:off x="364616" y="2134933"/>
                            <a:ext cx="435609" cy="958850"/>
                          </a:xfrm>
                          <a:custGeom>
                            <a:avLst/>
                            <a:gdLst/>
                            <a:ahLst/>
                            <a:cxnLst/>
                            <a:rect l="l" t="t" r="r" b="b"/>
                            <a:pathLst>
                              <a:path w="435609" h="958850">
                                <a:moveTo>
                                  <a:pt x="0" y="0"/>
                                </a:moveTo>
                                <a:lnTo>
                                  <a:pt x="435292" y="0"/>
                                </a:lnTo>
                                <a:lnTo>
                                  <a:pt x="435292" y="958786"/>
                                </a:lnTo>
                                <a:lnTo>
                                  <a:pt x="0" y="958786"/>
                                </a:lnTo>
                                <a:lnTo>
                                  <a:pt x="0" y="0"/>
                                </a:lnTo>
                                <a:close/>
                              </a:path>
                            </a:pathLst>
                          </a:custGeom>
                          <a:ln w="7234">
                            <a:solidFill>
                              <a:srgbClr val="000000"/>
                            </a:solidFill>
                            <a:prstDash val="solid"/>
                          </a:ln>
                        </wps:spPr>
                        <wps:bodyPr wrap="square" lIns="0" tIns="0" rIns="0" bIns="0" rtlCol="0">
                          <a:prstTxWarp prst="textNoShape">
                            <a:avLst/>
                          </a:prstTxWarp>
                          <a:noAutofit/>
                        </wps:bodyPr>
                      </wps:wsp>
                      <wps:wsp>
                        <wps:cNvPr id="22" name="Graphic 22"/>
                        <wps:cNvSpPr/>
                        <wps:spPr>
                          <a:xfrm>
                            <a:off x="1886902" y="2362580"/>
                            <a:ext cx="435609" cy="731520"/>
                          </a:xfrm>
                          <a:custGeom>
                            <a:avLst/>
                            <a:gdLst/>
                            <a:ahLst/>
                            <a:cxnLst/>
                            <a:rect l="l" t="t" r="r" b="b"/>
                            <a:pathLst>
                              <a:path w="435609" h="731520">
                                <a:moveTo>
                                  <a:pt x="435292" y="0"/>
                                </a:moveTo>
                                <a:lnTo>
                                  <a:pt x="0" y="0"/>
                                </a:lnTo>
                                <a:lnTo>
                                  <a:pt x="0" y="731138"/>
                                </a:lnTo>
                                <a:lnTo>
                                  <a:pt x="435292" y="731138"/>
                                </a:lnTo>
                                <a:lnTo>
                                  <a:pt x="435292" y="0"/>
                                </a:lnTo>
                                <a:close/>
                              </a:path>
                            </a:pathLst>
                          </a:custGeom>
                          <a:solidFill>
                            <a:srgbClr val="007F00"/>
                          </a:solidFill>
                        </wps:spPr>
                        <wps:bodyPr wrap="square" lIns="0" tIns="0" rIns="0" bIns="0" rtlCol="0">
                          <a:prstTxWarp prst="textNoShape">
                            <a:avLst/>
                          </a:prstTxWarp>
                          <a:noAutofit/>
                        </wps:bodyPr>
                      </wps:wsp>
                      <wps:wsp>
                        <wps:cNvPr id="23" name="Graphic 23"/>
                        <wps:cNvSpPr/>
                        <wps:spPr>
                          <a:xfrm>
                            <a:off x="1886902" y="2362580"/>
                            <a:ext cx="435609" cy="731520"/>
                          </a:xfrm>
                          <a:custGeom>
                            <a:avLst/>
                            <a:gdLst/>
                            <a:ahLst/>
                            <a:cxnLst/>
                            <a:rect l="l" t="t" r="r" b="b"/>
                            <a:pathLst>
                              <a:path w="435609" h="731520">
                                <a:moveTo>
                                  <a:pt x="0" y="0"/>
                                </a:moveTo>
                                <a:lnTo>
                                  <a:pt x="435292" y="0"/>
                                </a:lnTo>
                                <a:lnTo>
                                  <a:pt x="435292" y="731138"/>
                                </a:lnTo>
                                <a:lnTo>
                                  <a:pt x="0" y="731138"/>
                                </a:lnTo>
                                <a:lnTo>
                                  <a:pt x="0" y="0"/>
                                </a:lnTo>
                                <a:close/>
                              </a:path>
                            </a:pathLst>
                          </a:custGeom>
                          <a:ln w="7234">
                            <a:solidFill>
                              <a:srgbClr val="000000"/>
                            </a:solidFill>
                            <a:prstDash val="solid"/>
                          </a:ln>
                        </wps:spPr>
                        <wps:bodyPr wrap="square" lIns="0" tIns="0" rIns="0" bIns="0" rtlCol="0">
                          <a:prstTxWarp prst="textNoShape">
                            <a:avLst/>
                          </a:prstTxWarp>
                          <a:noAutofit/>
                        </wps:bodyPr>
                      </wps:wsp>
                      <wps:wsp>
                        <wps:cNvPr id="24" name="Graphic 24"/>
                        <wps:cNvSpPr/>
                        <wps:spPr>
                          <a:xfrm>
                            <a:off x="3408045" y="2221610"/>
                            <a:ext cx="435609" cy="872490"/>
                          </a:xfrm>
                          <a:custGeom>
                            <a:avLst/>
                            <a:gdLst/>
                            <a:ahLst/>
                            <a:cxnLst/>
                            <a:rect l="l" t="t" r="r" b="b"/>
                            <a:pathLst>
                              <a:path w="435609" h="872490">
                                <a:moveTo>
                                  <a:pt x="435292" y="0"/>
                                </a:moveTo>
                                <a:lnTo>
                                  <a:pt x="0" y="0"/>
                                </a:lnTo>
                                <a:lnTo>
                                  <a:pt x="0" y="872108"/>
                                </a:lnTo>
                                <a:lnTo>
                                  <a:pt x="435292" y="872108"/>
                                </a:lnTo>
                                <a:lnTo>
                                  <a:pt x="435292" y="0"/>
                                </a:lnTo>
                                <a:close/>
                              </a:path>
                            </a:pathLst>
                          </a:custGeom>
                          <a:solidFill>
                            <a:srgbClr val="007F00"/>
                          </a:solidFill>
                        </wps:spPr>
                        <wps:bodyPr wrap="square" lIns="0" tIns="0" rIns="0" bIns="0" rtlCol="0">
                          <a:prstTxWarp prst="textNoShape">
                            <a:avLst/>
                          </a:prstTxWarp>
                          <a:noAutofit/>
                        </wps:bodyPr>
                      </wps:wsp>
                      <wps:wsp>
                        <wps:cNvPr id="25" name="Graphic 25"/>
                        <wps:cNvSpPr/>
                        <wps:spPr>
                          <a:xfrm>
                            <a:off x="3408045" y="2221610"/>
                            <a:ext cx="435609" cy="872490"/>
                          </a:xfrm>
                          <a:custGeom>
                            <a:avLst/>
                            <a:gdLst/>
                            <a:ahLst/>
                            <a:cxnLst/>
                            <a:rect l="l" t="t" r="r" b="b"/>
                            <a:pathLst>
                              <a:path w="435609" h="872490">
                                <a:moveTo>
                                  <a:pt x="0" y="0"/>
                                </a:moveTo>
                                <a:lnTo>
                                  <a:pt x="435292" y="0"/>
                                </a:lnTo>
                                <a:lnTo>
                                  <a:pt x="435292" y="872108"/>
                                </a:lnTo>
                                <a:lnTo>
                                  <a:pt x="0" y="872108"/>
                                </a:lnTo>
                                <a:lnTo>
                                  <a:pt x="0" y="0"/>
                                </a:lnTo>
                                <a:close/>
                              </a:path>
                            </a:pathLst>
                          </a:custGeom>
                          <a:ln w="7234">
                            <a:solidFill>
                              <a:srgbClr val="000000"/>
                            </a:solidFill>
                            <a:prstDash val="solid"/>
                          </a:ln>
                        </wps:spPr>
                        <wps:bodyPr wrap="square" lIns="0" tIns="0" rIns="0" bIns="0" rtlCol="0">
                          <a:prstTxWarp prst="textNoShape">
                            <a:avLst/>
                          </a:prstTxWarp>
                          <a:noAutofit/>
                        </wps:bodyPr>
                      </wps:wsp>
                      <wps:wsp>
                        <wps:cNvPr id="26" name="Graphic 26"/>
                        <wps:cNvSpPr/>
                        <wps:spPr>
                          <a:xfrm>
                            <a:off x="799909" y="2644711"/>
                            <a:ext cx="435609" cy="449580"/>
                          </a:xfrm>
                          <a:custGeom>
                            <a:avLst/>
                            <a:gdLst/>
                            <a:ahLst/>
                            <a:cxnLst/>
                            <a:rect l="l" t="t" r="r" b="b"/>
                            <a:pathLst>
                              <a:path w="435609" h="449580">
                                <a:moveTo>
                                  <a:pt x="435292" y="0"/>
                                </a:moveTo>
                                <a:lnTo>
                                  <a:pt x="0" y="0"/>
                                </a:lnTo>
                                <a:lnTo>
                                  <a:pt x="0" y="449008"/>
                                </a:lnTo>
                                <a:lnTo>
                                  <a:pt x="435292" y="449008"/>
                                </a:lnTo>
                                <a:lnTo>
                                  <a:pt x="435292" y="0"/>
                                </a:lnTo>
                                <a:close/>
                              </a:path>
                            </a:pathLst>
                          </a:custGeom>
                          <a:solidFill>
                            <a:srgbClr val="00FFFF"/>
                          </a:solidFill>
                        </wps:spPr>
                        <wps:bodyPr wrap="square" lIns="0" tIns="0" rIns="0" bIns="0" rtlCol="0">
                          <a:prstTxWarp prst="textNoShape">
                            <a:avLst/>
                          </a:prstTxWarp>
                          <a:noAutofit/>
                        </wps:bodyPr>
                      </wps:wsp>
                      <wps:wsp>
                        <wps:cNvPr id="27" name="Graphic 27"/>
                        <wps:cNvSpPr/>
                        <wps:spPr>
                          <a:xfrm>
                            <a:off x="799909" y="2644711"/>
                            <a:ext cx="435609" cy="449580"/>
                          </a:xfrm>
                          <a:custGeom>
                            <a:avLst/>
                            <a:gdLst/>
                            <a:ahLst/>
                            <a:cxnLst/>
                            <a:rect l="l" t="t" r="r" b="b"/>
                            <a:pathLst>
                              <a:path w="435609" h="449580">
                                <a:moveTo>
                                  <a:pt x="0" y="0"/>
                                </a:moveTo>
                                <a:lnTo>
                                  <a:pt x="435292" y="0"/>
                                </a:lnTo>
                                <a:lnTo>
                                  <a:pt x="435292" y="449008"/>
                                </a:lnTo>
                                <a:lnTo>
                                  <a:pt x="0" y="449008"/>
                                </a:lnTo>
                                <a:lnTo>
                                  <a:pt x="0" y="0"/>
                                </a:lnTo>
                                <a:close/>
                              </a:path>
                            </a:pathLst>
                          </a:custGeom>
                          <a:ln w="7234">
                            <a:solidFill>
                              <a:srgbClr val="000000"/>
                            </a:solidFill>
                            <a:prstDash val="solid"/>
                          </a:ln>
                        </wps:spPr>
                        <wps:bodyPr wrap="square" lIns="0" tIns="0" rIns="0" bIns="0" rtlCol="0">
                          <a:prstTxWarp prst="textNoShape">
                            <a:avLst/>
                          </a:prstTxWarp>
                          <a:noAutofit/>
                        </wps:bodyPr>
                      </wps:wsp>
                      <wps:wsp>
                        <wps:cNvPr id="28" name="Graphic 28"/>
                        <wps:cNvSpPr/>
                        <wps:spPr>
                          <a:xfrm>
                            <a:off x="2322195" y="646366"/>
                            <a:ext cx="434340" cy="2447925"/>
                          </a:xfrm>
                          <a:custGeom>
                            <a:avLst/>
                            <a:gdLst/>
                            <a:ahLst/>
                            <a:cxnLst/>
                            <a:rect l="l" t="t" r="r" b="b"/>
                            <a:pathLst>
                              <a:path w="434340" h="2447925">
                                <a:moveTo>
                                  <a:pt x="434340" y="0"/>
                                </a:moveTo>
                                <a:lnTo>
                                  <a:pt x="0" y="0"/>
                                </a:lnTo>
                                <a:lnTo>
                                  <a:pt x="0" y="2447353"/>
                                </a:lnTo>
                                <a:lnTo>
                                  <a:pt x="434340" y="2447353"/>
                                </a:lnTo>
                                <a:lnTo>
                                  <a:pt x="434340" y="0"/>
                                </a:lnTo>
                                <a:close/>
                              </a:path>
                            </a:pathLst>
                          </a:custGeom>
                          <a:solidFill>
                            <a:srgbClr val="00FFFF"/>
                          </a:solidFill>
                        </wps:spPr>
                        <wps:bodyPr wrap="square" lIns="0" tIns="0" rIns="0" bIns="0" rtlCol="0">
                          <a:prstTxWarp prst="textNoShape">
                            <a:avLst/>
                          </a:prstTxWarp>
                          <a:noAutofit/>
                        </wps:bodyPr>
                      </wps:wsp>
                      <wps:wsp>
                        <wps:cNvPr id="29" name="Graphic 29"/>
                        <wps:cNvSpPr/>
                        <wps:spPr>
                          <a:xfrm>
                            <a:off x="2322195" y="646366"/>
                            <a:ext cx="434340" cy="2447925"/>
                          </a:xfrm>
                          <a:custGeom>
                            <a:avLst/>
                            <a:gdLst/>
                            <a:ahLst/>
                            <a:cxnLst/>
                            <a:rect l="l" t="t" r="r" b="b"/>
                            <a:pathLst>
                              <a:path w="434340" h="2447925">
                                <a:moveTo>
                                  <a:pt x="0" y="0"/>
                                </a:moveTo>
                                <a:lnTo>
                                  <a:pt x="434340" y="0"/>
                                </a:lnTo>
                                <a:lnTo>
                                  <a:pt x="434340" y="2447353"/>
                                </a:lnTo>
                                <a:lnTo>
                                  <a:pt x="0" y="2447353"/>
                                </a:lnTo>
                                <a:lnTo>
                                  <a:pt x="0" y="0"/>
                                </a:lnTo>
                                <a:close/>
                              </a:path>
                            </a:pathLst>
                          </a:custGeom>
                          <a:ln w="7234">
                            <a:solidFill>
                              <a:srgbClr val="000000"/>
                            </a:solidFill>
                            <a:prstDash val="solid"/>
                          </a:ln>
                        </wps:spPr>
                        <wps:bodyPr wrap="square" lIns="0" tIns="0" rIns="0" bIns="0" rtlCol="0">
                          <a:prstTxWarp prst="textNoShape">
                            <a:avLst/>
                          </a:prstTxWarp>
                          <a:noAutofit/>
                        </wps:bodyPr>
                      </wps:wsp>
                      <wps:wsp>
                        <wps:cNvPr id="30" name="Graphic 30"/>
                        <wps:cNvSpPr/>
                        <wps:spPr>
                          <a:xfrm>
                            <a:off x="3843337" y="1283588"/>
                            <a:ext cx="435609" cy="1810385"/>
                          </a:xfrm>
                          <a:custGeom>
                            <a:avLst/>
                            <a:gdLst/>
                            <a:ahLst/>
                            <a:cxnLst/>
                            <a:rect l="l" t="t" r="r" b="b"/>
                            <a:pathLst>
                              <a:path w="435609" h="1810385">
                                <a:moveTo>
                                  <a:pt x="435292" y="0"/>
                                </a:moveTo>
                                <a:lnTo>
                                  <a:pt x="0" y="0"/>
                                </a:lnTo>
                                <a:lnTo>
                                  <a:pt x="0" y="1810130"/>
                                </a:lnTo>
                                <a:lnTo>
                                  <a:pt x="435292" y="1810130"/>
                                </a:lnTo>
                                <a:lnTo>
                                  <a:pt x="435292" y="0"/>
                                </a:lnTo>
                                <a:close/>
                              </a:path>
                            </a:pathLst>
                          </a:custGeom>
                          <a:solidFill>
                            <a:srgbClr val="00FFFF"/>
                          </a:solidFill>
                        </wps:spPr>
                        <wps:bodyPr wrap="square" lIns="0" tIns="0" rIns="0" bIns="0" rtlCol="0">
                          <a:prstTxWarp prst="textNoShape">
                            <a:avLst/>
                          </a:prstTxWarp>
                          <a:noAutofit/>
                        </wps:bodyPr>
                      </wps:wsp>
                      <wps:wsp>
                        <wps:cNvPr id="31" name="Graphic 31"/>
                        <wps:cNvSpPr/>
                        <wps:spPr>
                          <a:xfrm>
                            <a:off x="3843337" y="1283588"/>
                            <a:ext cx="435609" cy="1810385"/>
                          </a:xfrm>
                          <a:custGeom>
                            <a:avLst/>
                            <a:gdLst/>
                            <a:ahLst/>
                            <a:cxnLst/>
                            <a:rect l="l" t="t" r="r" b="b"/>
                            <a:pathLst>
                              <a:path w="435609" h="1810385">
                                <a:moveTo>
                                  <a:pt x="0" y="0"/>
                                </a:moveTo>
                                <a:lnTo>
                                  <a:pt x="435292" y="0"/>
                                </a:lnTo>
                                <a:lnTo>
                                  <a:pt x="435292" y="1810130"/>
                                </a:lnTo>
                                <a:lnTo>
                                  <a:pt x="0" y="1810130"/>
                                </a:lnTo>
                                <a:lnTo>
                                  <a:pt x="0" y="0"/>
                                </a:lnTo>
                                <a:close/>
                              </a:path>
                            </a:pathLst>
                          </a:custGeom>
                          <a:ln w="7234">
                            <a:solidFill>
                              <a:srgbClr val="000000"/>
                            </a:solidFill>
                            <a:prstDash val="solid"/>
                          </a:ln>
                        </wps:spPr>
                        <wps:bodyPr wrap="square" lIns="0" tIns="0" rIns="0" bIns="0" rtlCol="0">
                          <a:prstTxWarp prst="textNoShape">
                            <a:avLst/>
                          </a:prstTxWarp>
                          <a:noAutofit/>
                        </wps:bodyPr>
                      </wps:wsp>
                      <wps:wsp>
                        <wps:cNvPr id="32" name="Graphic 32"/>
                        <wps:cNvSpPr/>
                        <wps:spPr>
                          <a:xfrm>
                            <a:off x="562927" y="364426"/>
                            <a:ext cx="3517900" cy="2331085"/>
                          </a:xfrm>
                          <a:custGeom>
                            <a:avLst/>
                            <a:gdLst/>
                            <a:ahLst/>
                            <a:cxnLst/>
                            <a:rect l="l" t="t" r="r" b="b"/>
                            <a:pathLst>
                              <a:path w="3517900" h="2331085">
                                <a:moveTo>
                                  <a:pt x="19050" y="1770506"/>
                                </a:moveTo>
                                <a:lnTo>
                                  <a:pt x="19050" y="1596008"/>
                                </a:lnTo>
                              </a:path>
                              <a:path w="3517900" h="2331085">
                                <a:moveTo>
                                  <a:pt x="0" y="1596008"/>
                                </a:moveTo>
                                <a:lnTo>
                                  <a:pt x="38862" y="1596008"/>
                                </a:lnTo>
                              </a:path>
                              <a:path w="3517900" h="2331085">
                                <a:moveTo>
                                  <a:pt x="1541145" y="1998154"/>
                                </a:moveTo>
                                <a:lnTo>
                                  <a:pt x="1541145" y="1850898"/>
                                </a:lnTo>
                              </a:path>
                              <a:path w="3517900" h="2331085">
                                <a:moveTo>
                                  <a:pt x="1522095" y="1850898"/>
                                </a:moveTo>
                                <a:lnTo>
                                  <a:pt x="1560957" y="1850898"/>
                                </a:lnTo>
                              </a:path>
                              <a:path w="3517900" h="2331085">
                                <a:moveTo>
                                  <a:pt x="3062287" y="1857184"/>
                                </a:moveTo>
                                <a:lnTo>
                                  <a:pt x="3062287" y="1505711"/>
                                </a:lnTo>
                              </a:path>
                              <a:path w="3517900" h="2331085">
                                <a:moveTo>
                                  <a:pt x="3043428" y="1505711"/>
                                </a:moveTo>
                                <a:lnTo>
                                  <a:pt x="3082290" y="1505711"/>
                                </a:lnTo>
                              </a:path>
                              <a:path w="3517900" h="2331085">
                                <a:moveTo>
                                  <a:pt x="19050" y="1770506"/>
                                </a:moveTo>
                                <a:lnTo>
                                  <a:pt x="19050" y="1945004"/>
                                </a:lnTo>
                              </a:path>
                              <a:path w="3517900" h="2331085">
                                <a:moveTo>
                                  <a:pt x="0" y="1945004"/>
                                </a:moveTo>
                                <a:lnTo>
                                  <a:pt x="38862" y="1945004"/>
                                </a:lnTo>
                              </a:path>
                              <a:path w="3517900" h="2331085">
                                <a:moveTo>
                                  <a:pt x="1541145" y="1998154"/>
                                </a:moveTo>
                                <a:lnTo>
                                  <a:pt x="1541145" y="2145601"/>
                                </a:lnTo>
                              </a:path>
                              <a:path w="3517900" h="2331085">
                                <a:moveTo>
                                  <a:pt x="1522095" y="2145601"/>
                                </a:moveTo>
                                <a:lnTo>
                                  <a:pt x="1560957" y="2145601"/>
                                </a:lnTo>
                              </a:path>
                              <a:path w="3517900" h="2331085">
                                <a:moveTo>
                                  <a:pt x="3062287" y="1857184"/>
                                </a:moveTo>
                                <a:lnTo>
                                  <a:pt x="3062287" y="2209800"/>
                                </a:lnTo>
                              </a:path>
                              <a:path w="3517900" h="2331085">
                                <a:moveTo>
                                  <a:pt x="3043428" y="2209800"/>
                                </a:moveTo>
                                <a:lnTo>
                                  <a:pt x="3082290" y="2209800"/>
                                </a:lnTo>
                              </a:path>
                              <a:path w="3517900" h="2331085">
                                <a:moveTo>
                                  <a:pt x="454342" y="2280284"/>
                                </a:moveTo>
                                <a:lnTo>
                                  <a:pt x="454342" y="2229611"/>
                                </a:lnTo>
                              </a:path>
                              <a:path w="3517900" h="2331085">
                                <a:moveTo>
                                  <a:pt x="435292" y="2229611"/>
                                </a:moveTo>
                                <a:lnTo>
                                  <a:pt x="474154" y="2229611"/>
                                </a:lnTo>
                              </a:path>
                              <a:path w="3517900" h="2331085">
                                <a:moveTo>
                                  <a:pt x="1976437" y="281939"/>
                                </a:moveTo>
                                <a:lnTo>
                                  <a:pt x="1976437" y="0"/>
                                </a:lnTo>
                              </a:path>
                              <a:path w="3517900" h="2331085">
                                <a:moveTo>
                                  <a:pt x="1957387" y="0"/>
                                </a:moveTo>
                                <a:lnTo>
                                  <a:pt x="1996249" y="0"/>
                                </a:lnTo>
                              </a:path>
                              <a:path w="3517900" h="2331085">
                                <a:moveTo>
                                  <a:pt x="3497579" y="919162"/>
                                </a:moveTo>
                                <a:lnTo>
                                  <a:pt x="3497579" y="412242"/>
                                </a:lnTo>
                              </a:path>
                              <a:path w="3517900" h="2331085">
                                <a:moveTo>
                                  <a:pt x="3478720" y="412242"/>
                                </a:moveTo>
                                <a:lnTo>
                                  <a:pt x="3517582" y="412242"/>
                                </a:lnTo>
                              </a:path>
                              <a:path w="3517900" h="2331085">
                                <a:moveTo>
                                  <a:pt x="454342" y="2280284"/>
                                </a:moveTo>
                                <a:lnTo>
                                  <a:pt x="454342" y="2330767"/>
                                </a:lnTo>
                              </a:path>
                              <a:path w="3517900" h="2331085">
                                <a:moveTo>
                                  <a:pt x="435292" y="2330767"/>
                                </a:moveTo>
                                <a:lnTo>
                                  <a:pt x="474154" y="2330767"/>
                                </a:lnTo>
                              </a:path>
                              <a:path w="3517900" h="2331085">
                                <a:moveTo>
                                  <a:pt x="1976437" y="281939"/>
                                </a:moveTo>
                                <a:lnTo>
                                  <a:pt x="1976437" y="563118"/>
                                </a:lnTo>
                              </a:path>
                              <a:path w="3517900" h="2331085">
                                <a:moveTo>
                                  <a:pt x="1957387" y="563118"/>
                                </a:moveTo>
                                <a:lnTo>
                                  <a:pt x="1996249" y="563118"/>
                                </a:lnTo>
                              </a:path>
                              <a:path w="3517900" h="2331085">
                                <a:moveTo>
                                  <a:pt x="3497579" y="919162"/>
                                </a:moveTo>
                                <a:lnTo>
                                  <a:pt x="3497579" y="1425321"/>
                                </a:lnTo>
                              </a:path>
                              <a:path w="3517900" h="2331085">
                                <a:moveTo>
                                  <a:pt x="3478720" y="1425321"/>
                                </a:moveTo>
                                <a:lnTo>
                                  <a:pt x="3517582" y="1425321"/>
                                </a:lnTo>
                              </a:path>
                            </a:pathLst>
                          </a:custGeom>
                          <a:ln w="7234">
                            <a:solidFill>
                              <a:srgbClr val="000000"/>
                            </a:solidFill>
                            <a:prstDash val="solid"/>
                          </a:ln>
                        </wps:spPr>
                        <wps:bodyPr wrap="square" lIns="0" tIns="0" rIns="0" bIns="0" rtlCol="0">
                          <a:prstTxWarp prst="textNoShape">
                            <a:avLst/>
                          </a:prstTxWarp>
                          <a:noAutofit/>
                        </wps:bodyPr>
                      </wps:wsp>
                      <wps:wsp>
                        <wps:cNvPr id="33" name="Graphic 33"/>
                        <wps:cNvSpPr/>
                        <wps:spPr>
                          <a:xfrm>
                            <a:off x="0" y="76200"/>
                            <a:ext cx="4604385" cy="3056890"/>
                          </a:xfrm>
                          <a:custGeom>
                            <a:avLst/>
                            <a:gdLst/>
                            <a:ahLst/>
                            <a:cxnLst/>
                            <a:rect l="l" t="t" r="r" b="b"/>
                            <a:pathLst>
                              <a:path w="4604385" h="3056890">
                                <a:moveTo>
                                  <a:pt x="38862" y="0"/>
                                </a:moveTo>
                                <a:lnTo>
                                  <a:pt x="38862" y="3017520"/>
                                </a:lnTo>
                              </a:path>
                              <a:path w="4604385" h="3056890">
                                <a:moveTo>
                                  <a:pt x="0" y="3017520"/>
                                </a:moveTo>
                                <a:lnTo>
                                  <a:pt x="38862" y="3017520"/>
                                </a:lnTo>
                              </a:path>
                              <a:path w="4604385" h="3056890">
                                <a:moveTo>
                                  <a:pt x="0" y="2682240"/>
                                </a:moveTo>
                                <a:lnTo>
                                  <a:pt x="38862" y="2682240"/>
                                </a:lnTo>
                              </a:path>
                              <a:path w="4604385" h="3056890">
                                <a:moveTo>
                                  <a:pt x="0" y="2346960"/>
                                </a:moveTo>
                                <a:lnTo>
                                  <a:pt x="38862" y="2346960"/>
                                </a:lnTo>
                              </a:path>
                              <a:path w="4604385" h="3056890">
                                <a:moveTo>
                                  <a:pt x="0" y="2011680"/>
                                </a:moveTo>
                                <a:lnTo>
                                  <a:pt x="38862" y="2011680"/>
                                </a:lnTo>
                              </a:path>
                              <a:path w="4604385" h="3056890">
                                <a:moveTo>
                                  <a:pt x="0" y="1676400"/>
                                </a:moveTo>
                                <a:lnTo>
                                  <a:pt x="38862" y="1676400"/>
                                </a:lnTo>
                              </a:path>
                              <a:path w="4604385" h="3056890">
                                <a:moveTo>
                                  <a:pt x="0" y="1341120"/>
                                </a:moveTo>
                                <a:lnTo>
                                  <a:pt x="38862" y="1341120"/>
                                </a:lnTo>
                              </a:path>
                              <a:path w="4604385" h="3056890">
                                <a:moveTo>
                                  <a:pt x="0" y="1005840"/>
                                </a:moveTo>
                                <a:lnTo>
                                  <a:pt x="38862" y="1005840"/>
                                </a:lnTo>
                              </a:path>
                              <a:path w="4604385" h="3056890">
                                <a:moveTo>
                                  <a:pt x="0" y="670560"/>
                                </a:moveTo>
                                <a:lnTo>
                                  <a:pt x="38862" y="670560"/>
                                </a:lnTo>
                              </a:path>
                              <a:path w="4604385" h="3056890">
                                <a:moveTo>
                                  <a:pt x="0" y="335280"/>
                                </a:moveTo>
                                <a:lnTo>
                                  <a:pt x="38862" y="335280"/>
                                </a:lnTo>
                              </a:path>
                              <a:path w="4604385" h="3056890">
                                <a:moveTo>
                                  <a:pt x="0" y="0"/>
                                </a:moveTo>
                                <a:lnTo>
                                  <a:pt x="38862" y="0"/>
                                </a:lnTo>
                              </a:path>
                              <a:path w="4604385" h="3056890">
                                <a:moveTo>
                                  <a:pt x="38862" y="3017520"/>
                                </a:moveTo>
                                <a:lnTo>
                                  <a:pt x="4604385" y="3017520"/>
                                </a:lnTo>
                              </a:path>
                              <a:path w="4604385" h="3056890">
                                <a:moveTo>
                                  <a:pt x="38862" y="3056382"/>
                                </a:moveTo>
                                <a:lnTo>
                                  <a:pt x="38862" y="3017520"/>
                                </a:lnTo>
                              </a:path>
                              <a:path w="4604385" h="3056890">
                                <a:moveTo>
                                  <a:pt x="1561147" y="3056382"/>
                                </a:moveTo>
                                <a:lnTo>
                                  <a:pt x="1561147" y="3017520"/>
                                </a:lnTo>
                              </a:path>
                              <a:path w="4604385" h="3056890">
                                <a:moveTo>
                                  <a:pt x="3082290" y="3056382"/>
                                </a:moveTo>
                                <a:lnTo>
                                  <a:pt x="3082290" y="3017520"/>
                                </a:lnTo>
                              </a:path>
                              <a:path w="4604385" h="3056890">
                                <a:moveTo>
                                  <a:pt x="4604385" y="3056382"/>
                                </a:moveTo>
                                <a:lnTo>
                                  <a:pt x="4604385" y="3017520"/>
                                </a:lnTo>
                              </a:path>
                            </a:pathLst>
                          </a:custGeom>
                          <a:ln w="3048">
                            <a:solidFill>
                              <a:srgbClr val="000000"/>
                            </a:solidFill>
                            <a:prstDash val="solid"/>
                          </a:ln>
                        </wps:spPr>
                        <wps:bodyPr wrap="square" lIns="0" tIns="0" rIns="0" bIns="0" rtlCol="0">
                          <a:prstTxWarp prst="textNoShape">
                            <a:avLst/>
                          </a:prstTxWarp>
                          <a:noAutofit/>
                        </wps:bodyPr>
                      </wps:wsp>
                      <wps:wsp>
                        <wps:cNvPr id="34" name="Graphic 34"/>
                        <wps:cNvSpPr/>
                        <wps:spPr>
                          <a:xfrm>
                            <a:off x="2419540" y="0"/>
                            <a:ext cx="222885" cy="320040"/>
                          </a:xfrm>
                          <a:custGeom>
                            <a:avLst/>
                            <a:gdLst/>
                            <a:ahLst/>
                            <a:cxnLst/>
                            <a:rect l="l" t="t" r="r" b="b"/>
                            <a:pathLst>
                              <a:path w="222885" h="320040">
                                <a:moveTo>
                                  <a:pt x="222503" y="0"/>
                                </a:moveTo>
                                <a:lnTo>
                                  <a:pt x="0" y="0"/>
                                </a:lnTo>
                                <a:lnTo>
                                  <a:pt x="0" y="320040"/>
                                </a:lnTo>
                                <a:lnTo>
                                  <a:pt x="222503" y="320040"/>
                                </a:lnTo>
                                <a:lnTo>
                                  <a:pt x="222503" y="0"/>
                                </a:lnTo>
                                <a:close/>
                              </a:path>
                            </a:pathLst>
                          </a:custGeom>
                          <a:solidFill>
                            <a:srgbClr val="FFFFFF"/>
                          </a:solidFill>
                        </wps:spPr>
                        <wps:bodyPr wrap="square" lIns="0" tIns="0" rIns="0" bIns="0" rtlCol="0">
                          <a:prstTxWarp prst="textNoShape">
                            <a:avLst/>
                          </a:prstTxWarp>
                          <a:noAutofit/>
                        </wps:bodyPr>
                      </wps:wsp>
                      <wps:wsp>
                        <wps:cNvPr id="35" name="Textbox 35"/>
                        <wps:cNvSpPr txBox="1"/>
                        <wps:spPr>
                          <a:xfrm>
                            <a:off x="2504884" y="71841"/>
                            <a:ext cx="81915" cy="132080"/>
                          </a:xfrm>
                          <a:prstGeom prst="rect">
                            <a:avLst/>
                          </a:prstGeom>
                        </wps:spPr>
                        <wps:txbx>
                          <w:txbxContent>
                            <w:p>
                              <w:pPr>
                                <w:spacing w:line="208" w:lineRule="exact" w:before="0"/>
                                <w:ind w:left="0" w:right="0" w:firstLine="0"/>
                                <w:jc w:val="left"/>
                                <w:rPr>
                                  <w:rFonts w:ascii="Calibri"/>
                                  <w:sz w:val="20"/>
                                </w:rPr>
                              </w:pPr>
                              <w:r>
                                <w:rPr>
                                  <w:rFonts w:ascii="Calibri"/>
                                  <w:spacing w:val="-10"/>
                                  <w:w w:val="105"/>
                                  <w:sz w:val="20"/>
                                </w:rPr>
                                <w:t>b</w:t>
                              </w:r>
                            </w:p>
                          </w:txbxContent>
                        </wps:txbx>
                        <wps:bodyPr wrap="square" lIns="0" tIns="0" rIns="0" bIns="0" rtlCol="0">
                          <a:noAutofit/>
                        </wps:bodyPr>
                      </wps:wsp>
                      <wps:wsp>
                        <wps:cNvPr id="36" name="Textbox 36"/>
                        <wps:cNvSpPr txBox="1"/>
                        <wps:spPr>
                          <a:xfrm>
                            <a:off x="532828" y="1647657"/>
                            <a:ext cx="76200" cy="132080"/>
                          </a:xfrm>
                          <a:prstGeom prst="rect">
                            <a:avLst/>
                          </a:prstGeom>
                        </wps:spPr>
                        <wps:txbx>
                          <w:txbxContent>
                            <w:p>
                              <w:pPr>
                                <w:spacing w:line="208" w:lineRule="exact" w:before="0"/>
                                <w:ind w:left="0" w:right="0" w:firstLine="0"/>
                                <w:jc w:val="left"/>
                                <w:rPr>
                                  <w:rFonts w:ascii="Calibri"/>
                                  <w:sz w:val="20"/>
                                </w:rPr>
                              </w:pPr>
                              <w:r>
                                <w:rPr>
                                  <w:rFonts w:ascii="Calibri"/>
                                  <w:spacing w:val="-10"/>
                                  <w:w w:val="105"/>
                                  <w:sz w:val="20"/>
                                </w:rPr>
                                <w:t>a</w:t>
                              </w:r>
                            </w:p>
                          </w:txbxContent>
                        </wps:txbx>
                        <wps:bodyPr wrap="square" lIns="0" tIns="0" rIns="0" bIns="0" rtlCol="0">
                          <a:noAutofit/>
                        </wps:bodyPr>
                      </wps:wsp>
                      <wps:wsp>
                        <wps:cNvPr id="37" name="Textbox 37"/>
                        <wps:cNvSpPr txBox="1"/>
                        <wps:spPr>
                          <a:xfrm>
                            <a:off x="2047684" y="1918929"/>
                            <a:ext cx="76200" cy="132080"/>
                          </a:xfrm>
                          <a:prstGeom prst="rect">
                            <a:avLst/>
                          </a:prstGeom>
                        </wps:spPr>
                        <wps:txbx>
                          <w:txbxContent>
                            <w:p>
                              <w:pPr>
                                <w:spacing w:line="208" w:lineRule="exact" w:before="0"/>
                                <w:ind w:left="0" w:right="0" w:firstLine="0"/>
                                <w:jc w:val="left"/>
                                <w:rPr>
                                  <w:rFonts w:ascii="Calibri"/>
                                  <w:sz w:val="20"/>
                                </w:rPr>
                              </w:pPr>
                              <w:r>
                                <w:rPr>
                                  <w:rFonts w:ascii="Calibri"/>
                                  <w:spacing w:val="-10"/>
                                  <w:w w:val="105"/>
                                  <w:sz w:val="20"/>
                                </w:rPr>
                                <w:t>a</w:t>
                              </w:r>
                            </w:p>
                          </w:txbxContent>
                        </wps:txbx>
                        <wps:bodyPr wrap="square" lIns="0" tIns="0" rIns="0" bIns="0" rtlCol="0">
                          <a:noAutofit/>
                        </wps:bodyPr>
                      </wps:wsp>
                      <wps:wsp>
                        <wps:cNvPr id="38" name="Textbox 38"/>
                        <wps:cNvSpPr txBox="1"/>
                        <wps:spPr>
                          <a:xfrm>
                            <a:off x="999172" y="2254209"/>
                            <a:ext cx="81915" cy="132080"/>
                          </a:xfrm>
                          <a:prstGeom prst="rect">
                            <a:avLst/>
                          </a:prstGeom>
                        </wps:spPr>
                        <wps:txbx>
                          <w:txbxContent>
                            <w:p>
                              <w:pPr>
                                <w:spacing w:line="208" w:lineRule="exact" w:before="0"/>
                                <w:ind w:left="0" w:right="0" w:firstLine="0"/>
                                <w:jc w:val="left"/>
                                <w:rPr>
                                  <w:rFonts w:ascii="Calibri"/>
                                  <w:sz w:val="20"/>
                                </w:rPr>
                              </w:pPr>
                              <w:r>
                                <w:rPr>
                                  <w:rFonts w:ascii="Calibri"/>
                                  <w:spacing w:val="-10"/>
                                  <w:w w:val="105"/>
                                  <w:sz w:val="20"/>
                                </w:rPr>
                                <w:t>b</w:t>
                              </w:r>
                            </w:p>
                          </w:txbxContent>
                        </wps:txbx>
                        <wps:bodyPr wrap="square" lIns="0" tIns="0" rIns="0" bIns="0" rtlCol="0">
                          <a:noAutofit/>
                        </wps:bodyPr>
                      </wps:wsp>
                    </wpg:wgp>
                  </a:graphicData>
                </a:graphic>
              </wp:anchor>
            </w:drawing>
          </mc:Choice>
          <mc:Fallback>
            <w:pict>
              <v:group style="position:absolute;margin-left:158.925003pt;margin-top:3.04pt;width:362.7pt;height:246.7pt;mso-position-horizontal-relative:page;mso-position-vertical-relative:paragraph;z-index:15733760" id="docshapegroup10" coordorigin="3179,61" coordsize="7254,4934">
                <v:rect style="position:absolute;left:3752;top:3422;width:686;height:1510" id="docshape11" filled="true" fillcolor="#007f00" stroked="false">
                  <v:fill type="solid"/>
                </v:rect>
                <v:rect style="position:absolute;left:3752;top:3422;width:686;height:1510" id="docshape12" filled="false" stroked="true" strokeweight=".56967pt" strokecolor="#000000">
                  <v:stroke dashstyle="solid"/>
                </v:rect>
                <v:rect style="position:absolute;left:6150;top:3781;width:686;height:1152" id="docshape13" filled="true" fillcolor="#007f00" stroked="false">
                  <v:fill type="solid"/>
                </v:rect>
                <v:rect style="position:absolute;left:6150;top:3781;width:686;height:1152" id="docshape14" filled="false" stroked="true" strokeweight=".56967pt" strokecolor="#000000">
                  <v:stroke dashstyle="solid"/>
                </v:rect>
                <v:rect style="position:absolute;left:8545;top:3559;width:686;height:1374" id="docshape15" filled="true" fillcolor="#007f00" stroked="false">
                  <v:fill type="solid"/>
                </v:rect>
                <v:rect style="position:absolute;left:8545;top:3559;width:686;height:1374" id="docshape16" filled="false" stroked="true" strokeweight=".56967pt" strokecolor="#000000">
                  <v:stroke dashstyle="solid"/>
                </v:rect>
                <v:rect style="position:absolute;left:4438;top:4225;width:686;height:708" id="docshape17" filled="true" fillcolor="#00ffff" stroked="false">
                  <v:fill type="solid"/>
                </v:rect>
                <v:rect style="position:absolute;left:4438;top:4225;width:686;height:708" id="docshape18" filled="false" stroked="true" strokeweight=".56967pt" strokecolor="#000000">
                  <v:stroke dashstyle="solid"/>
                </v:rect>
                <v:rect style="position:absolute;left:6835;top:1078;width:684;height:3855" id="docshape19" filled="true" fillcolor="#00ffff" stroked="false">
                  <v:fill type="solid"/>
                </v:rect>
                <v:rect style="position:absolute;left:6835;top:1078;width:684;height:3855" id="docshape20" filled="false" stroked="true" strokeweight=".56967pt" strokecolor="#000000">
                  <v:stroke dashstyle="solid"/>
                </v:rect>
                <v:rect style="position:absolute;left:9231;top:2082;width:686;height:2851" id="docshape21" filled="true" fillcolor="#00ffff" stroked="false">
                  <v:fill type="solid"/>
                </v:rect>
                <v:rect style="position:absolute;left:9231;top:2082;width:686;height:2851" id="docshape22" filled="false" stroked="true" strokeweight=".56967pt" strokecolor="#000000">
                  <v:stroke dashstyle="solid"/>
                </v:rect>
                <v:shape style="position:absolute;left:4065;top:634;width:5540;height:3671" id="docshape23" coordorigin="4065,635" coordsize="5540,3671" path="m4095,3423l4095,3148m4065,3148l4126,3148m6492,3781l6492,3549m6462,3549l6523,3549m8888,3559l8888,3006m8858,3006l8919,3006m4095,3423l4095,3698m4065,3698l4126,3698m6492,3781l6492,4014m6462,4014l6523,4014m8888,3559l8888,4115m8858,4115l8919,4115m4781,4226l4781,4146m4751,4146l4812,4146m7178,1079l7178,635m7148,635l7209,635m9573,2082l9573,1284m9543,1284l9605,1284m4781,4226l4781,4305m4751,4305l4812,4305m7178,1079l7178,1521m7148,1521l7209,1521m9573,2082l9573,2879m9543,2879l9605,2879e" filled="false" stroked="true" strokeweight=".56967pt" strokecolor="#000000">
                  <v:path arrowok="t"/>
                  <v:stroke dashstyle="solid"/>
                </v:shape>
                <v:shape style="position:absolute;left:3178;top:180;width:7251;height:4814" id="docshape24" coordorigin="3179,181" coordsize="7251,4814" path="m3240,181l3240,4933m3179,4933l3240,4933m3179,4405l3240,4405m3179,3877l3240,3877m3179,3349l3240,3349m3179,2821l3240,2821m3179,2293l3240,2293m3179,1765l3240,1765m3179,1237l3240,1237m3179,709l3240,709m3179,181l3240,181m3240,4933l10430,4933m3240,4994l3240,4933m5637,4994l5637,4933m8033,4994l8033,4933m10430,4994l10430,4933e" filled="false" stroked="true" strokeweight=".24pt" strokecolor="#000000">
                  <v:path arrowok="t"/>
                  <v:stroke dashstyle="solid"/>
                </v:shape>
                <v:rect style="position:absolute;left:6988;top:60;width:351;height:504" id="docshape25" filled="true" fillcolor="#ffffff" stroked="false">
                  <v:fill type="solid"/>
                </v:rect>
                <v:shape style="position:absolute;left:7123;top:173;width:129;height:208" type="#_x0000_t202" id="docshape26" filled="false" stroked="false">
                  <v:textbox inset="0,0,0,0">
                    <w:txbxContent>
                      <w:p>
                        <w:pPr>
                          <w:spacing w:line="208" w:lineRule="exact" w:before="0"/>
                          <w:ind w:left="0" w:right="0" w:firstLine="0"/>
                          <w:jc w:val="left"/>
                          <w:rPr>
                            <w:rFonts w:ascii="Calibri"/>
                            <w:sz w:val="20"/>
                          </w:rPr>
                        </w:pPr>
                        <w:r>
                          <w:rPr>
                            <w:rFonts w:ascii="Calibri"/>
                            <w:spacing w:val="-10"/>
                            <w:w w:val="105"/>
                            <w:sz w:val="20"/>
                          </w:rPr>
                          <w:t>b</w:t>
                        </w:r>
                      </w:p>
                    </w:txbxContent>
                  </v:textbox>
                  <w10:wrap type="none"/>
                </v:shape>
                <v:shape style="position:absolute;left:4017;top:2655;width:120;height:208" type="#_x0000_t202" id="docshape27" filled="false" stroked="false">
                  <v:textbox inset="0,0,0,0">
                    <w:txbxContent>
                      <w:p>
                        <w:pPr>
                          <w:spacing w:line="208" w:lineRule="exact" w:before="0"/>
                          <w:ind w:left="0" w:right="0" w:firstLine="0"/>
                          <w:jc w:val="left"/>
                          <w:rPr>
                            <w:rFonts w:ascii="Calibri"/>
                            <w:sz w:val="20"/>
                          </w:rPr>
                        </w:pPr>
                        <w:r>
                          <w:rPr>
                            <w:rFonts w:ascii="Calibri"/>
                            <w:spacing w:val="-10"/>
                            <w:w w:val="105"/>
                            <w:sz w:val="20"/>
                          </w:rPr>
                          <w:t>a</w:t>
                        </w:r>
                      </w:p>
                    </w:txbxContent>
                  </v:textbox>
                  <w10:wrap type="none"/>
                </v:shape>
                <v:shape style="position:absolute;left:6403;top:3082;width:120;height:208" type="#_x0000_t202" id="docshape28" filled="false" stroked="false">
                  <v:textbox inset="0,0,0,0">
                    <w:txbxContent>
                      <w:p>
                        <w:pPr>
                          <w:spacing w:line="208" w:lineRule="exact" w:before="0"/>
                          <w:ind w:left="0" w:right="0" w:firstLine="0"/>
                          <w:jc w:val="left"/>
                          <w:rPr>
                            <w:rFonts w:ascii="Calibri"/>
                            <w:sz w:val="20"/>
                          </w:rPr>
                        </w:pPr>
                        <w:r>
                          <w:rPr>
                            <w:rFonts w:ascii="Calibri"/>
                            <w:spacing w:val="-10"/>
                            <w:w w:val="105"/>
                            <w:sz w:val="20"/>
                          </w:rPr>
                          <w:t>a</w:t>
                        </w:r>
                      </w:p>
                    </w:txbxContent>
                  </v:textbox>
                  <w10:wrap type="none"/>
                </v:shape>
                <v:shape style="position:absolute;left:4752;top:3610;width:129;height:208" type="#_x0000_t202" id="docshape29" filled="false" stroked="false">
                  <v:textbox inset="0,0,0,0">
                    <w:txbxContent>
                      <w:p>
                        <w:pPr>
                          <w:spacing w:line="208" w:lineRule="exact" w:before="0"/>
                          <w:ind w:left="0" w:right="0" w:firstLine="0"/>
                          <w:jc w:val="left"/>
                          <w:rPr>
                            <w:rFonts w:ascii="Calibri"/>
                            <w:sz w:val="20"/>
                          </w:rPr>
                        </w:pPr>
                        <w:r>
                          <w:rPr>
                            <w:rFonts w:ascii="Calibri"/>
                            <w:spacing w:val="-10"/>
                            <w:w w:val="105"/>
                            <w:sz w:val="20"/>
                          </w:rPr>
                          <w:t>b</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4272">
                <wp:simplePos x="0" y="0"/>
                <wp:positionH relativeFrom="page">
                  <wp:posOffset>5484685</wp:posOffset>
                </wp:positionH>
                <wp:positionV relativeFrom="paragraph">
                  <wp:posOffset>40132</wp:posOffset>
                </wp:positionV>
                <wp:extent cx="851535" cy="339090"/>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851535" cy="339090"/>
                          <a:chExt cx="851535" cy="339090"/>
                        </a:xfrm>
                      </wpg:grpSpPr>
                      <wps:wsp>
                        <wps:cNvPr id="40" name="Graphic 40"/>
                        <wps:cNvSpPr/>
                        <wps:spPr>
                          <a:xfrm>
                            <a:off x="38671" y="53911"/>
                            <a:ext cx="76200" cy="76200"/>
                          </a:xfrm>
                          <a:custGeom>
                            <a:avLst/>
                            <a:gdLst/>
                            <a:ahLst/>
                            <a:cxnLst/>
                            <a:rect l="l" t="t" r="r" b="b"/>
                            <a:pathLst>
                              <a:path w="76200" h="76200">
                                <a:moveTo>
                                  <a:pt x="76009" y="0"/>
                                </a:moveTo>
                                <a:lnTo>
                                  <a:pt x="0" y="0"/>
                                </a:lnTo>
                                <a:lnTo>
                                  <a:pt x="0" y="75819"/>
                                </a:lnTo>
                                <a:lnTo>
                                  <a:pt x="76009" y="75819"/>
                                </a:lnTo>
                                <a:lnTo>
                                  <a:pt x="76009" y="0"/>
                                </a:lnTo>
                                <a:close/>
                              </a:path>
                            </a:pathLst>
                          </a:custGeom>
                          <a:solidFill>
                            <a:srgbClr val="007F00"/>
                          </a:solidFill>
                        </wps:spPr>
                        <wps:bodyPr wrap="square" lIns="0" tIns="0" rIns="0" bIns="0" rtlCol="0">
                          <a:prstTxWarp prst="textNoShape">
                            <a:avLst/>
                          </a:prstTxWarp>
                          <a:noAutofit/>
                        </wps:bodyPr>
                      </wps:wsp>
                      <wps:wsp>
                        <wps:cNvPr id="41" name="Graphic 41"/>
                        <wps:cNvSpPr/>
                        <wps:spPr>
                          <a:xfrm>
                            <a:off x="38671" y="53911"/>
                            <a:ext cx="76200" cy="76200"/>
                          </a:xfrm>
                          <a:custGeom>
                            <a:avLst/>
                            <a:gdLst/>
                            <a:ahLst/>
                            <a:cxnLst/>
                            <a:rect l="l" t="t" r="r" b="b"/>
                            <a:pathLst>
                              <a:path w="76200" h="76200">
                                <a:moveTo>
                                  <a:pt x="0" y="0"/>
                                </a:moveTo>
                                <a:lnTo>
                                  <a:pt x="76009" y="0"/>
                                </a:lnTo>
                                <a:lnTo>
                                  <a:pt x="76009" y="75819"/>
                                </a:lnTo>
                                <a:lnTo>
                                  <a:pt x="0" y="75819"/>
                                </a:lnTo>
                                <a:lnTo>
                                  <a:pt x="0" y="0"/>
                                </a:lnTo>
                                <a:close/>
                              </a:path>
                            </a:pathLst>
                          </a:custGeom>
                          <a:ln w="7234">
                            <a:solidFill>
                              <a:srgbClr val="000000"/>
                            </a:solidFill>
                            <a:prstDash val="solid"/>
                          </a:ln>
                        </wps:spPr>
                        <wps:bodyPr wrap="square" lIns="0" tIns="0" rIns="0" bIns="0" rtlCol="0">
                          <a:prstTxWarp prst="textNoShape">
                            <a:avLst/>
                          </a:prstTxWarp>
                          <a:noAutofit/>
                        </wps:bodyPr>
                      </wps:wsp>
                      <wps:wsp>
                        <wps:cNvPr id="42" name="Graphic 42"/>
                        <wps:cNvSpPr/>
                        <wps:spPr>
                          <a:xfrm>
                            <a:off x="38671" y="221932"/>
                            <a:ext cx="76200" cy="76200"/>
                          </a:xfrm>
                          <a:custGeom>
                            <a:avLst/>
                            <a:gdLst/>
                            <a:ahLst/>
                            <a:cxnLst/>
                            <a:rect l="l" t="t" r="r" b="b"/>
                            <a:pathLst>
                              <a:path w="76200" h="76200">
                                <a:moveTo>
                                  <a:pt x="76009" y="0"/>
                                </a:moveTo>
                                <a:lnTo>
                                  <a:pt x="0" y="0"/>
                                </a:lnTo>
                                <a:lnTo>
                                  <a:pt x="0" y="76009"/>
                                </a:lnTo>
                                <a:lnTo>
                                  <a:pt x="76009" y="76009"/>
                                </a:lnTo>
                                <a:lnTo>
                                  <a:pt x="76009" y="0"/>
                                </a:lnTo>
                                <a:close/>
                              </a:path>
                            </a:pathLst>
                          </a:custGeom>
                          <a:solidFill>
                            <a:srgbClr val="00FFFF"/>
                          </a:solidFill>
                        </wps:spPr>
                        <wps:bodyPr wrap="square" lIns="0" tIns="0" rIns="0" bIns="0" rtlCol="0">
                          <a:prstTxWarp prst="textNoShape">
                            <a:avLst/>
                          </a:prstTxWarp>
                          <a:noAutofit/>
                        </wps:bodyPr>
                      </wps:wsp>
                      <wps:wsp>
                        <wps:cNvPr id="43" name="Graphic 43"/>
                        <wps:cNvSpPr/>
                        <wps:spPr>
                          <a:xfrm>
                            <a:off x="38671" y="221932"/>
                            <a:ext cx="76200" cy="76200"/>
                          </a:xfrm>
                          <a:custGeom>
                            <a:avLst/>
                            <a:gdLst/>
                            <a:ahLst/>
                            <a:cxnLst/>
                            <a:rect l="l" t="t" r="r" b="b"/>
                            <a:pathLst>
                              <a:path w="76200" h="76200">
                                <a:moveTo>
                                  <a:pt x="0" y="0"/>
                                </a:moveTo>
                                <a:lnTo>
                                  <a:pt x="76009" y="0"/>
                                </a:lnTo>
                                <a:lnTo>
                                  <a:pt x="76009" y="76009"/>
                                </a:lnTo>
                                <a:lnTo>
                                  <a:pt x="0" y="76009"/>
                                </a:lnTo>
                                <a:lnTo>
                                  <a:pt x="0" y="0"/>
                                </a:lnTo>
                                <a:close/>
                              </a:path>
                            </a:pathLst>
                          </a:custGeom>
                          <a:ln w="7234">
                            <a:solidFill>
                              <a:srgbClr val="000000"/>
                            </a:solidFill>
                            <a:prstDash val="solid"/>
                          </a:ln>
                        </wps:spPr>
                        <wps:bodyPr wrap="square" lIns="0" tIns="0" rIns="0" bIns="0" rtlCol="0">
                          <a:prstTxWarp prst="textNoShape">
                            <a:avLst/>
                          </a:prstTxWarp>
                          <a:noAutofit/>
                        </wps:bodyPr>
                      </wps:wsp>
                      <wps:wsp>
                        <wps:cNvPr id="44" name="Textbox 44"/>
                        <wps:cNvSpPr txBox="1"/>
                        <wps:spPr>
                          <a:xfrm>
                            <a:off x="1523" y="1523"/>
                            <a:ext cx="848360" cy="336550"/>
                          </a:xfrm>
                          <a:prstGeom prst="rect">
                            <a:avLst/>
                          </a:prstGeom>
                          <a:ln w="3048">
                            <a:solidFill>
                              <a:srgbClr val="000000"/>
                            </a:solidFill>
                            <a:prstDash val="solid"/>
                          </a:ln>
                        </wps:spPr>
                        <wps:txbx>
                          <w:txbxContent>
                            <w:p>
                              <w:pPr>
                                <w:spacing w:line="290" w:lineRule="auto" w:before="0"/>
                                <w:ind w:left="223" w:right="0" w:firstLine="0"/>
                                <w:jc w:val="left"/>
                                <w:rPr>
                                  <w:b/>
                                  <w:sz w:val="19"/>
                                </w:rPr>
                              </w:pPr>
                              <w:r>
                                <w:rPr>
                                  <w:b/>
                                  <w:spacing w:val="-2"/>
                                  <w:sz w:val="19"/>
                                </w:rPr>
                                <w:t>control experimental</w:t>
                              </w:r>
                            </w:p>
                          </w:txbxContent>
                        </wps:txbx>
                        <wps:bodyPr wrap="square" lIns="0" tIns="0" rIns="0" bIns="0" rtlCol="0">
                          <a:noAutofit/>
                        </wps:bodyPr>
                      </wps:wsp>
                    </wpg:wgp>
                  </a:graphicData>
                </a:graphic>
              </wp:anchor>
            </w:drawing>
          </mc:Choice>
          <mc:Fallback>
            <w:pict>
              <v:group style="position:absolute;margin-left:431.86499pt;margin-top:3.16pt;width:67.05pt;height:26.7pt;mso-position-horizontal-relative:page;mso-position-vertical-relative:paragraph;z-index:15734272" id="docshapegroup30" coordorigin="8637,63" coordsize="1341,534">
                <v:rect style="position:absolute;left:8698;top:148;width:120;height:120" id="docshape31" filled="true" fillcolor="#007f00" stroked="false">
                  <v:fill type="solid"/>
                </v:rect>
                <v:rect style="position:absolute;left:8698;top:148;width:120;height:120" id="docshape32" filled="false" stroked="true" strokeweight=".56967pt" strokecolor="#000000">
                  <v:stroke dashstyle="solid"/>
                </v:rect>
                <v:rect style="position:absolute;left:8698;top:412;width:120;height:120" id="docshape33" filled="true" fillcolor="#00ffff" stroked="false">
                  <v:fill type="solid"/>
                </v:rect>
                <v:rect style="position:absolute;left:8698;top:412;width:120;height:120" id="docshape34" filled="false" stroked="true" strokeweight=".56967pt" strokecolor="#000000">
                  <v:stroke dashstyle="solid"/>
                </v:rect>
                <v:shape style="position:absolute;left:8639;top:65;width:1336;height:530" type="#_x0000_t202" id="docshape35" filled="false" stroked="true" strokeweight=".24pt" strokecolor="#000000">
                  <v:textbox inset="0,0,0,0">
                    <w:txbxContent>
                      <w:p>
                        <w:pPr>
                          <w:spacing w:line="290" w:lineRule="auto" w:before="0"/>
                          <w:ind w:left="223" w:right="0" w:firstLine="0"/>
                          <w:jc w:val="left"/>
                          <w:rPr>
                            <w:b/>
                            <w:sz w:val="19"/>
                          </w:rPr>
                        </w:pPr>
                        <w:r>
                          <w:rPr>
                            <w:b/>
                            <w:spacing w:val="-2"/>
                            <w:sz w:val="19"/>
                          </w:rPr>
                          <w:t>control experimental</w:t>
                        </w:r>
                      </w:p>
                    </w:txbxContent>
                  </v:textbox>
                  <v:stroke dashstyle="solid"/>
                  <w10:wrap type="none"/>
                </v:shape>
                <w10:wrap type="none"/>
              </v:group>
            </w:pict>
          </mc:Fallback>
        </mc:AlternateContent>
      </w:r>
      <w:r>
        <w:rPr>
          <w:b/>
          <w:spacing w:val="-5"/>
          <w:sz w:val="19"/>
        </w:rPr>
        <w:t>90</w:t>
      </w:r>
    </w:p>
    <w:p>
      <w:pPr>
        <w:pStyle w:val="BodyText"/>
        <w:spacing w:before="90"/>
        <w:rPr>
          <w:b/>
          <w:sz w:val="19"/>
        </w:rPr>
      </w:pPr>
    </w:p>
    <w:p>
      <w:pPr>
        <w:spacing w:before="1"/>
        <w:ind w:left="1179" w:right="0" w:firstLine="0"/>
        <w:jc w:val="left"/>
        <w:rPr>
          <w:b/>
          <w:sz w:val="19"/>
        </w:rPr>
      </w:pPr>
      <w:r>
        <w:rPr>
          <w:b/>
          <w:spacing w:val="-5"/>
          <w:sz w:val="19"/>
        </w:rPr>
        <w:t>80</w:t>
      </w:r>
    </w:p>
    <w:p>
      <w:pPr>
        <w:pStyle w:val="BodyText"/>
        <w:spacing w:before="90"/>
        <w:rPr>
          <w:b/>
          <w:sz w:val="19"/>
        </w:rPr>
      </w:pPr>
    </w:p>
    <w:p>
      <w:pPr>
        <w:spacing w:before="1"/>
        <w:ind w:left="1179" w:right="0" w:firstLine="0"/>
        <w:jc w:val="left"/>
        <w:rPr>
          <w:b/>
          <w:sz w:val="19"/>
        </w:rPr>
      </w:pPr>
      <w:r>
        <w:rPr>
          <w:b/>
          <w:spacing w:val="-5"/>
          <w:sz w:val="19"/>
        </w:rPr>
        <w:t>70</w:t>
      </w:r>
    </w:p>
    <w:p>
      <w:pPr>
        <w:pStyle w:val="BodyText"/>
        <w:spacing w:before="90"/>
        <w:rPr>
          <w:b/>
          <w:sz w:val="19"/>
        </w:rPr>
      </w:pPr>
    </w:p>
    <w:p>
      <w:pPr>
        <w:spacing w:before="1"/>
        <w:ind w:left="1179" w:right="0" w:firstLine="0"/>
        <w:jc w:val="left"/>
        <w:rPr>
          <w:b/>
          <w:sz w:val="19"/>
        </w:rPr>
      </w:pPr>
      <w:r>
        <w:rPr/>
        <mc:AlternateContent>
          <mc:Choice Requires="wps">
            <w:drawing>
              <wp:anchor distT="0" distB="0" distL="0" distR="0" allowOverlap="1" layoutInCell="1" locked="0" behindDoc="0" simplePos="0" relativeHeight="15734784">
                <wp:simplePos x="0" y="0"/>
                <wp:positionH relativeFrom="page">
                  <wp:posOffset>1640324</wp:posOffset>
                </wp:positionH>
                <wp:positionV relativeFrom="paragraph">
                  <wp:posOffset>-147584</wp:posOffset>
                </wp:positionV>
                <wp:extent cx="160655" cy="1450340"/>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160655" cy="1450340"/>
                        </a:xfrm>
                        <a:prstGeom prst="rect">
                          <a:avLst/>
                        </a:prstGeom>
                      </wps:spPr>
                      <wps:txbx>
                        <w:txbxContent>
                          <w:p>
                            <w:pPr>
                              <w:spacing w:before="14"/>
                              <w:ind w:left="20" w:right="0" w:firstLine="0"/>
                              <w:jc w:val="left"/>
                              <w:rPr>
                                <w:b/>
                                <w:sz w:val="19"/>
                              </w:rPr>
                            </w:pPr>
                            <w:r>
                              <w:rPr>
                                <w:b/>
                                <w:sz w:val="19"/>
                              </w:rPr>
                              <w:t>Transfer</w:t>
                            </w:r>
                            <w:r>
                              <w:rPr>
                                <w:b/>
                                <w:spacing w:val="4"/>
                                <w:sz w:val="19"/>
                              </w:rPr>
                              <w:t> </w:t>
                            </w:r>
                            <w:r>
                              <w:rPr>
                                <w:b/>
                                <w:sz w:val="19"/>
                              </w:rPr>
                              <w:t>Latency</w:t>
                            </w:r>
                            <w:r>
                              <w:rPr>
                                <w:b/>
                                <w:spacing w:val="3"/>
                                <w:sz w:val="19"/>
                              </w:rPr>
                              <w:t> </w:t>
                            </w:r>
                            <w:r>
                              <w:rPr>
                                <w:b/>
                                <w:spacing w:val="-2"/>
                                <w:sz w:val="19"/>
                              </w:rPr>
                              <w:t>(seconds)</w:t>
                            </w:r>
                          </w:p>
                        </w:txbxContent>
                      </wps:txbx>
                      <wps:bodyPr wrap="square" lIns="0" tIns="0" rIns="0" bIns="0" rtlCol="0" vert="vert270">
                        <a:noAutofit/>
                      </wps:bodyPr>
                    </wps:wsp>
                  </a:graphicData>
                </a:graphic>
              </wp:anchor>
            </w:drawing>
          </mc:Choice>
          <mc:Fallback>
            <w:pict>
              <v:shape style="position:absolute;margin-left:129.159378pt;margin-top:-11.620834pt;width:12.65pt;height:114.2pt;mso-position-horizontal-relative:page;mso-position-vertical-relative:paragraph;z-index:15734784" type="#_x0000_t202" id="docshape36" filled="false" stroked="false">
                <v:textbox inset="0,0,0,0" style="layout-flow:vertical;mso-layout-flow-alt:bottom-to-top">
                  <w:txbxContent>
                    <w:p>
                      <w:pPr>
                        <w:spacing w:before="14"/>
                        <w:ind w:left="20" w:right="0" w:firstLine="0"/>
                        <w:jc w:val="left"/>
                        <w:rPr>
                          <w:b/>
                          <w:sz w:val="19"/>
                        </w:rPr>
                      </w:pPr>
                      <w:r>
                        <w:rPr>
                          <w:b/>
                          <w:sz w:val="19"/>
                        </w:rPr>
                        <w:t>Transfer</w:t>
                      </w:r>
                      <w:r>
                        <w:rPr>
                          <w:b/>
                          <w:spacing w:val="4"/>
                          <w:sz w:val="19"/>
                        </w:rPr>
                        <w:t> </w:t>
                      </w:r>
                      <w:r>
                        <w:rPr>
                          <w:b/>
                          <w:sz w:val="19"/>
                        </w:rPr>
                        <w:t>Latency</w:t>
                      </w:r>
                      <w:r>
                        <w:rPr>
                          <w:b/>
                          <w:spacing w:val="3"/>
                          <w:sz w:val="19"/>
                        </w:rPr>
                        <w:t> </w:t>
                      </w:r>
                      <w:r>
                        <w:rPr>
                          <w:b/>
                          <w:spacing w:val="-2"/>
                          <w:sz w:val="19"/>
                        </w:rPr>
                        <w:t>(seconds)</w:t>
                      </w:r>
                    </w:p>
                  </w:txbxContent>
                </v:textbox>
                <w10:wrap type="none"/>
              </v:shape>
            </w:pict>
          </mc:Fallback>
        </mc:AlternateContent>
      </w:r>
      <w:r>
        <w:rPr>
          <w:b/>
          <w:spacing w:val="-5"/>
          <w:sz w:val="19"/>
        </w:rPr>
        <w:t>60</w:t>
      </w:r>
    </w:p>
    <w:p>
      <w:pPr>
        <w:pStyle w:val="BodyText"/>
        <w:spacing w:before="90"/>
        <w:rPr>
          <w:b/>
          <w:sz w:val="19"/>
        </w:rPr>
      </w:pPr>
    </w:p>
    <w:p>
      <w:pPr>
        <w:spacing w:before="1"/>
        <w:ind w:left="1179" w:right="0" w:firstLine="0"/>
        <w:jc w:val="left"/>
        <w:rPr>
          <w:b/>
          <w:sz w:val="19"/>
        </w:rPr>
      </w:pPr>
      <w:r>
        <w:rPr>
          <w:b/>
          <w:spacing w:val="-5"/>
          <w:sz w:val="19"/>
        </w:rPr>
        <w:t>50</w:t>
      </w:r>
    </w:p>
    <w:p>
      <w:pPr>
        <w:pStyle w:val="BodyText"/>
        <w:spacing w:before="91"/>
        <w:rPr>
          <w:b/>
          <w:sz w:val="19"/>
        </w:rPr>
      </w:pPr>
    </w:p>
    <w:p>
      <w:pPr>
        <w:spacing w:before="0"/>
        <w:ind w:left="1179" w:right="0" w:firstLine="0"/>
        <w:jc w:val="left"/>
        <w:rPr>
          <w:b/>
          <w:sz w:val="19"/>
        </w:rPr>
      </w:pPr>
      <w:r>
        <w:rPr>
          <w:b/>
          <w:spacing w:val="-5"/>
          <w:sz w:val="19"/>
        </w:rPr>
        <w:t>40</w:t>
      </w:r>
    </w:p>
    <w:p>
      <w:pPr>
        <w:pStyle w:val="BodyText"/>
        <w:spacing w:before="91"/>
        <w:rPr>
          <w:b/>
          <w:sz w:val="19"/>
        </w:rPr>
      </w:pPr>
    </w:p>
    <w:p>
      <w:pPr>
        <w:spacing w:before="0"/>
        <w:ind w:left="1179" w:right="0" w:firstLine="0"/>
        <w:jc w:val="left"/>
        <w:rPr>
          <w:b/>
          <w:sz w:val="19"/>
        </w:rPr>
      </w:pPr>
      <w:r>
        <w:rPr>
          <w:b/>
          <w:spacing w:val="-5"/>
          <w:sz w:val="19"/>
        </w:rPr>
        <w:t>30</w:t>
      </w:r>
    </w:p>
    <w:p>
      <w:pPr>
        <w:pStyle w:val="BodyText"/>
        <w:spacing w:before="91"/>
        <w:rPr>
          <w:b/>
          <w:sz w:val="19"/>
        </w:rPr>
      </w:pPr>
    </w:p>
    <w:p>
      <w:pPr>
        <w:spacing w:before="0"/>
        <w:ind w:left="1179" w:right="0" w:firstLine="0"/>
        <w:jc w:val="left"/>
        <w:rPr>
          <w:b/>
          <w:sz w:val="19"/>
        </w:rPr>
      </w:pPr>
      <w:r>
        <w:rPr>
          <w:b/>
          <w:spacing w:val="-5"/>
          <w:sz w:val="19"/>
        </w:rPr>
        <w:t>20</w:t>
      </w:r>
    </w:p>
    <w:p>
      <w:pPr>
        <w:pStyle w:val="BodyText"/>
        <w:spacing w:before="91"/>
        <w:rPr>
          <w:b/>
          <w:sz w:val="19"/>
        </w:rPr>
      </w:pPr>
    </w:p>
    <w:p>
      <w:pPr>
        <w:spacing w:before="0"/>
        <w:ind w:left="1179" w:right="0" w:firstLine="0"/>
        <w:jc w:val="left"/>
        <w:rPr>
          <w:b/>
          <w:sz w:val="19"/>
        </w:rPr>
      </w:pPr>
      <w:r>
        <w:rPr>
          <w:b/>
          <w:spacing w:val="-5"/>
          <w:sz w:val="19"/>
        </w:rPr>
        <w:t>10</w:t>
      </w:r>
    </w:p>
    <w:p>
      <w:pPr>
        <w:pStyle w:val="BodyText"/>
        <w:spacing w:before="91"/>
        <w:rPr>
          <w:b/>
          <w:sz w:val="19"/>
        </w:rPr>
      </w:pPr>
    </w:p>
    <w:p>
      <w:pPr>
        <w:spacing w:before="0"/>
        <w:ind w:left="1275" w:right="0" w:firstLine="0"/>
        <w:jc w:val="left"/>
        <w:rPr>
          <w:b/>
          <w:sz w:val="19"/>
        </w:rPr>
      </w:pPr>
      <w:r>
        <w:rPr>
          <w:b/>
          <w:spacing w:val="-10"/>
          <w:sz w:val="19"/>
        </w:rPr>
        <w:t>0</w:t>
      </w:r>
    </w:p>
    <w:p>
      <w:pPr>
        <w:tabs>
          <w:tab w:pos="4822" w:val="left" w:leader="none"/>
          <w:tab w:pos="7183" w:val="left" w:leader="none"/>
        </w:tabs>
        <w:spacing w:before="65"/>
        <w:ind w:left="2268" w:right="0" w:firstLine="0"/>
        <w:jc w:val="left"/>
        <w:rPr>
          <w:b/>
          <w:sz w:val="19"/>
        </w:rPr>
      </w:pPr>
      <w:r>
        <w:rPr>
          <w:b/>
          <w:sz w:val="19"/>
        </w:rPr>
        <w:t>30</w:t>
      </w:r>
      <w:r>
        <w:rPr>
          <w:b/>
          <w:spacing w:val="5"/>
          <w:sz w:val="19"/>
        </w:rPr>
        <w:t> </w:t>
      </w:r>
      <w:r>
        <w:rPr>
          <w:b/>
          <w:spacing w:val="-2"/>
          <w:sz w:val="19"/>
        </w:rPr>
        <w:t>minutes</w:t>
      </w:r>
      <w:r>
        <w:rPr>
          <w:b/>
          <w:sz w:val="19"/>
        </w:rPr>
        <w:tab/>
        <w:t>1</w:t>
      </w:r>
      <w:r>
        <w:rPr>
          <w:b/>
          <w:spacing w:val="5"/>
          <w:sz w:val="19"/>
        </w:rPr>
        <w:t> </w:t>
      </w:r>
      <w:r>
        <w:rPr>
          <w:b/>
          <w:spacing w:val="-4"/>
          <w:sz w:val="19"/>
        </w:rPr>
        <w:t>Hour</w:t>
      </w:r>
      <w:r>
        <w:rPr>
          <w:b/>
          <w:sz w:val="19"/>
        </w:rPr>
        <w:tab/>
        <w:t>2 </w:t>
      </w:r>
      <w:r>
        <w:rPr>
          <w:b/>
          <w:spacing w:val="-2"/>
          <w:sz w:val="19"/>
        </w:rPr>
        <w:t>Hours</w:t>
      </w:r>
    </w:p>
    <w:p>
      <w:pPr>
        <w:spacing w:before="132"/>
        <w:ind w:left="1300" w:right="0" w:firstLine="0"/>
        <w:jc w:val="center"/>
        <w:rPr>
          <w:sz w:val="20"/>
        </w:rPr>
      </w:pPr>
      <w:r>
        <w:rPr>
          <w:spacing w:val="-2"/>
          <w:w w:val="105"/>
          <w:sz w:val="20"/>
        </w:rPr>
        <w:t>Duration</w:t>
      </w:r>
      <w:r>
        <w:rPr>
          <w:spacing w:val="-6"/>
          <w:w w:val="105"/>
          <w:sz w:val="20"/>
        </w:rPr>
        <w:t> </w:t>
      </w:r>
      <w:r>
        <w:rPr>
          <w:spacing w:val="-2"/>
          <w:w w:val="105"/>
          <w:sz w:val="20"/>
        </w:rPr>
        <w:t>of</w:t>
      </w:r>
      <w:r>
        <w:rPr>
          <w:spacing w:val="-3"/>
          <w:w w:val="105"/>
          <w:sz w:val="20"/>
        </w:rPr>
        <w:t> </w:t>
      </w:r>
      <w:r>
        <w:rPr>
          <w:spacing w:val="-2"/>
          <w:w w:val="105"/>
          <w:sz w:val="20"/>
        </w:rPr>
        <w:t>exposure</w:t>
      </w:r>
    </w:p>
    <w:p>
      <w:pPr>
        <w:pStyle w:val="BodyText"/>
      </w:pPr>
    </w:p>
    <w:p>
      <w:pPr>
        <w:pStyle w:val="BodyText"/>
        <w:spacing w:before="114"/>
      </w:pPr>
    </w:p>
    <w:p>
      <w:pPr>
        <w:pStyle w:val="Heading3"/>
        <w:spacing w:line="491" w:lineRule="auto"/>
      </w:pPr>
      <w:r>
        <w:rPr/>
        <w:t>Figure</w:t>
      </w:r>
      <w:r>
        <w:rPr>
          <w:spacing w:val="76"/>
        </w:rPr>
        <w:t> </w:t>
      </w:r>
      <w:r>
        <w:rPr/>
        <w:t>4.1:</w:t>
      </w:r>
      <w:r>
        <w:rPr>
          <w:spacing w:val="80"/>
        </w:rPr>
        <w:t> </w:t>
      </w:r>
      <w:r>
        <w:rPr/>
        <w:t>Transfer</w:t>
      </w:r>
      <w:r>
        <w:rPr>
          <w:spacing w:val="77"/>
        </w:rPr>
        <w:t> </w:t>
      </w:r>
      <w:r>
        <w:rPr/>
        <w:t>latencies</w:t>
      </w:r>
      <w:r>
        <w:rPr>
          <w:spacing w:val="73"/>
        </w:rPr>
        <w:t> </w:t>
      </w:r>
      <w:r>
        <w:rPr/>
        <w:t>of</w:t>
      </w:r>
      <w:r>
        <w:rPr>
          <w:spacing w:val="77"/>
        </w:rPr>
        <w:t> </w:t>
      </w:r>
      <w:r>
        <w:rPr/>
        <w:t>control</w:t>
      </w:r>
      <w:r>
        <w:rPr>
          <w:spacing w:val="76"/>
        </w:rPr>
        <w:t> </w:t>
      </w:r>
      <w:r>
        <w:rPr/>
        <w:t>and</w:t>
      </w:r>
      <w:r>
        <w:rPr>
          <w:spacing w:val="80"/>
        </w:rPr>
        <w:t> </w:t>
      </w:r>
      <w:r>
        <w:rPr/>
        <w:t>experimental</w:t>
      </w:r>
      <w:r>
        <w:rPr>
          <w:spacing w:val="76"/>
        </w:rPr>
        <w:t> </w:t>
      </w:r>
      <w:r>
        <w:rPr/>
        <w:t>groups</w:t>
      </w:r>
      <w:r>
        <w:rPr>
          <w:spacing w:val="73"/>
        </w:rPr>
        <w:t> </w:t>
      </w:r>
      <w:r>
        <w:rPr/>
        <w:t>during</w:t>
      </w:r>
      <w:r>
        <w:rPr>
          <w:spacing w:val="80"/>
        </w:rPr>
        <w:t> </w:t>
      </w:r>
      <w:r>
        <w:rPr/>
        <w:t>the acquisition/learning test</w:t>
      </w:r>
    </w:p>
    <w:p>
      <w:pPr>
        <w:pStyle w:val="BodyText"/>
        <w:spacing w:line="491" w:lineRule="auto"/>
        <w:ind w:left="665" w:right="819"/>
      </w:pPr>
      <w:r>
        <w:rPr>
          <w:vertAlign w:val="superscript"/>
        </w:rPr>
        <w:t>a,</w:t>
      </w:r>
      <w:r>
        <w:rPr>
          <w:spacing w:val="18"/>
          <w:vertAlign w:val="baseline"/>
        </w:rPr>
        <w:t> </w:t>
      </w:r>
      <w:r>
        <w:rPr>
          <w:vertAlign w:val="superscript"/>
        </w:rPr>
        <w:t>b</w:t>
      </w:r>
      <w:r>
        <w:rPr>
          <w:spacing w:val="35"/>
          <w:vertAlign w:val="baseline"/>
        </w:rPr>
        <w:t> </w:t>
      </w:r>
      <w:r>
        <w:rPr>
          <w:vertAlign w:val="baseline"/>
        </w:rPr>
        <w:t>=</w:t>
      </w:r>
      <w:r>
        <w:rPr>
          <w:spacing w:val="40"/>
          <w:vertAlign w:val="baseline"/>
        </w:rPr>
        <w:t> </w:t>
      </w:r>
      <w:r>
        <w:rPr>
          <w:vertAlign w:val="baseline"/>
        </w:rPr>
        <w:t>values</w:t>
      </w:r>
      <w:r>
        <w:rPr>
          <w:spacing w:val="36"/>
          <w:vertAlign w:val="baseline"/>
        </w:rPr>
        <w:t> </w:t>
      </w:r>
      <w:r>
        <w:rPr>
          <w:vertAlign w:val="baseline"/>
        </w:rPr>
        <w:t>with</w:t>
      </w:r>
      <w:r>
        <w:rPr>
          <w:spacing w:val="35"/>
          <w:vertAlign w:val="baseline"/>
        </w:rPr>
        <w:t> </w:t>
      </w:r>
      <w:r>
        <w:rPr>
          <w:vertAlign w:val="baseline"/>
        </w:rPr>
        <w:t>different</w:t>
      </w:r>
      <w:r>
        <w:rPr>
          <w:spacing w:val="37"/>
          <w:vertAlign w:val="baseline"/>
        </w:rPr>
        <w:t> </w:t>
      </w:r>
      <w:r>
        <w:rPr>
          <w:vertAlign w:val="baseline"/>
        </w:rPr>
        <w:t>superscript</w:t>
      </w:r>
      <w:r>
        <w:rPr>
          <w:spacing w:val="39"/>
          <w:vertAlign w:val="baseline"/>
        </w:rPr>
        <w:t> </w:t>
      </w:r>
      <w:r>
        <w:rPr>
          <w:vertAlign w:val="baseline"/>
        </w:rPr>
        <w:t>letters</w:t>
      </w:r>
      <w:r>
        <w:rPr>
          <w:spacing w:val="36"/>
          <w:vertAlign w:val="baseline"/>
        </w:rPr>
        <w:t> </w:t>
      </w:r>
      <w:r>
        <w:rPr>
          <w:vertAlign w:val="baseline"/>
        </w:rPr>
        <w:t>indicate</w:t>
      </w:r>
      <w:r>
        <w:rPr>
          <w:spacing w:val="37"/>
          <w:vertAlign w:val="baseline"/>
        </w:rPr>
        <w:t> </w:t>
      </w:r>
      <w:r>
        <w:rPr>
          <w:vertAlign w:val="baseline"/>
        </w:rPr>
        <w:t>significance</w:t>
      </w:r>
      <w:r>
        <w:rPr>
          <w:spacing w:val="33"/>
          <w:vertAlign w:val="baseline"/>
        </w:rPr>
        <w:t> </w:t>
      </w:r>
      <w:r>
        <w:rPr>
          <w:vertAlign w:val="baseline"/>
        </w:rPr>
        <w:t>at</w:t>
      </w:r>
      <w:r>
        <w:rPr>
          <w:spacing w:val="37"/>
          <w:vertAlign w:val="baseline"/>
        </w:rPr>
        <w:t> </w:t>
      </w:r>
      <w:r>
        <w:rPr>
          <w:vertAlign w:val="baseline"/>
        </w:rPr>
        <w:t>P</w:t>
      </w:r>
      <w:r>
        <w:rPr>
          <w:spacing w:val="32"/>
          <w:vertAlign w:val="baseline"/>
        </w:rPr>
        <w:t> </w:t>
      </w:r>
      <w:r>
        <w:rPr>
          <w:vertAlign w:val="baseline"/>
        </w:rPr>
        <w:t>&lt;</w:t>
      </w:r>
      <w:r>
        <w:rPr>
          <w:spacing w:val="40"/>
          <w:vertAlign w:val="baseline"/>
        </w:rPr>
        <w:t> </w:t>
      </w:r>
      <w:r>
        <w:rPr>
          <w:vertAlign w:val="baseline"/>
        </w:rPr>
        <w:t>0.05</w:t>
      </w:r>
      <w:r>
        <w:rPr>
          <w:spacing w:val="40"/>
          <w:vertAlign w:val="baseline"/>
        </w:rPr>
        <w:t> </w:t>
      </w:r>
      <w:r>
        <w:rPr>
          <w:vertAlign w:val="baseline"/>
        </w:rPr>
        <w:t>and</w:t>
      </w:r>
      <w:r>
        <w:rPr>
          <w:spacing w:val="40"/>
          <w:vertAlign w:val="baseline"/>
        </w:rPr>
        <w:t> </w:t>
      </w:r>
      <w:r>
        <w:rPr>
          <w:vertAlign w:val="baseline"/>
        </w:rPr>
        <w:t>its absence imply insignificance. n = 5</w:t>
      </w:r>
    </w:p>
    <w:p>
      <w:pPr>
        <w:spacing w:after="0" w:line="491" w:lineRule="auto"/>
        <w:sectPr>
          <w:pgSz w:w="12240" w:h="15840"/>
          <w:pgMar w:header="0" w:footer="916" w:top="1360" w:bottom="1100" w:left="1720" w:right="960"/>
        </w:sectPr>
      </w:pPr>
    </w:p>
    <w:p>
      <w:pPr>
        <w:pStyle w:val="Heading3"/>
        <w:numPr>
          <w:ilvl w:val="2"/>
          <w:numId w:val="24"/>
        </w:numPr>
        <w:tabs>
          <w:tab w:pos="1171" w:val="left" w:leader="none"/>
        </w:tabs>
        <w:spacing w:line="240" w:lineRule="auto" w:before="80" w:after="0"/>
        <w:ind w:left="1171" w:right="0" w:hanging="506"/>
        <w:jc w:val="left"/>
      </w:pPr>
      <w:r>
        <w:rPr/>
        <w:t>Influence</w:t>
      </w:r>
      <w:r>
        <w:rPr>
          <w:spacing w:val="7"/>
        </w:rPr>
        <w:t> </w:t>
      </w:r>
      <w:r>
        <w:rPr/>
        <w:t>of</w:t>
      </w:r>
      <w:r>
        <w:rPr>
          <w:spacing w:val="9"/>
        </w:rPr>
        <w:t> </w:t>
      </w:r>
      <w:r>
        <w:rPr/>
        <w:t>CO</w:t>
      </w:r>
      <w:r>
        <w:rPr>
          <w:spacing w:val="14"/>
        </w:rPr>
        <w:t> </w:t>
      </w:r>
      <w:r>
        <w:rPr/>
        <w:t>exposure</w:t>
      </w:r>
      <w:r>
        <w:rPr>
          <w:spacing w:val="9"/>
        </w:rPr>
        <w:t> </w:t>
      </w:r>
      <w:r>
        <w:rPr/>
        <w:t>on</w:t>
      </w:r>
      <w:r>
        <w:rPr>
          <w:spacing w:val="17"/>
        </w:rPr>
        <w:t> </w:t>
      </w:r>
      <w:r>
        <w:rPr/>
        <w:t>memory/recall</w:t>
      </w:r>
      <w:r>
        <w:rPr>
          <w:spacing w:val="18"/>
        </w:rPr>
        <w:t> </w:t>
      </w:r>
      <w:r>
        <w:rPr/>
        <w:t>test</w:t>
      </w:r>
      <w:r>
        <w:rPr>
          <w:spacing w:val="8"/>
        </w:rPr>
        <w:t> </w:t>
      </w:r>
      <w:r>
        <w:rPr/>
        <w:t>(Day-</w:t>
      </w:r>
      <w:r>
        <w:rPr>
          <w:spacing w:val="-5"/>
        </w:rPr>
        <w:t>2)</w:t>
      </w:r>
    </w:p>
    <w:p>
      <w:pPr>
        <w:pStyle w:val="BodyText"/>
        <w:spacing w:before="7"/>
        <w:rPr>
          <w:b/>
        </w:rPr>
      </w:pPr>
    </w:p>
    <w:p>
      <w:pPr>
        <w:pStyle w:val="BodyText"/>
        <w:spacing w:line="491" w:lineRule="auto" w:before="1"/>
        <w:ind w:left="665" w:right="902"/>
        <w:jc w:val="both"/>
      </w:pPr>
      <w:r>
        <w:rPr/>
        <w:t>There were significant increases in the TLs of the experimental group during the 30 minutes (48.2 ± 12.8 sec.) and 2 hours (66.8 ± 15.3 sec.) of exposure when compared to the</w:t>
      </w:r>
      <w:r>
        <w:rPr>
          <w:spacing w:val="40"/>
        </w:rPr>
        <w:t> </w:t>
      </w:r>
      <w:r>
        <w:rPr/>
        <w:t>controls</w:t>
      </w:r>
      <w:r>
        <w:rPr>
          <w:spacing w:val="40"/>
        </w:rPr>
        <w:t> </w:t>
      </w:r>
      <w:r>
        <w:rPr/>
        <w:t>(13.6</w:t>
      </w:r>
      <w:r>
        <w:rPr>
          <w:spacing w:val="40"/>
        </w:rPr>
        <w:t> </w:t>
      </w:r>
      <w:r>
        <w:rPr/>
        <w:t>±</w:t>
      </w:r>
      <w:r>
        <w:rPr>
          <w:spacing w:val="40"/>
        </w:rPr>
        <w:t> </w:t>
      </w:r>
      <w:r>
        <w:rPr/>
        <w:t>1.9</w:t>
      </w:r>
      <w:r>
        <w:rPr>
          <w:spacing w:val="40"/>
        </w:rPr>
        <w:t> </w:t>
      </w:r>
      <w:r>
        <w:rPr/>
        <w:t>sec.)</w:t>
      </w:r>
      <w:r>
        <w:rPr>
          <w:spacing w:val="40"/>
        </w:rPr>
        <w:t> </w:t>
      </w:r>
      <w:r>
        <w:rPr/>
        <w:t>and</w:t>
      </w:r>
      <w:r>
        <w:rPr>
          <w:spacing w:val="40"/>
        </w:rPr>
        <w:t> </w:t>
      </w:r>
      <w:r>
        <w:rPr/>
        <w:t>(22.6</w:t>
      </w:r>
      <w:r>
        <w:rPr>
          <w:spacing w:val="40"/>
        </w:rPr>
        <w:t> </w:t>
      </w:r>
      <w:r>
        <w:rPr/>
        <w:t>±</w:t>
      </w:r>
      <w:r>
        <w:rPr>
          <w:spacing w:val="40"/>
        </w:rPr>
        <w:t> </w:t>
      </w:r>
      <w:r>
        <w:rPr/>
        <w:t>6.6</w:t>
      </w:r>
      <w:r>
        <w:rPr>
          <w:spacing w:val="40"/>
        </w:rPr>
        <w:t> </w:t>
      </w:r>
      <w:r>
        <w:rPr/>
        <w:t>sec.),</w:t>
      </w:r>
      <w:r>
        <w:rPr>
          <w:spacing w:val="40"/>
        </w:rPr>
        <w:t> </w:t>
      </w:r>
      <w:r>
        <w:rPr/>
        <w:t>respectively.</w:t>
      </w:r>
      <w:r>
        <w:rPr>
          <w:spacing w:val="40"/>
        </w:rPr>
        <w:t> </w:t>
      </w:r>
      <w:r>
        <w:rPr/>
        <w:t>Results</w:t>
      </w:r>
      <w:r>
        <w:rPr>
          <w:spacing w:val="40"/>
        </w:rPr>
        <w:t> </w:t>
      </w:r>
      <w:r>
        <w:rPr/>
        <w:t>suggest impaired recall of the learned behaviour in virtually all the three exposure periods (Fig. </w:t>
      </w:r>
      <w:r>
        <w:rPr>
          <w:spacing w:val="-2"/>
        </w:rPr>
        <w:t>4.2).</w:t>
      </w:r>
    </w:p>
    <w:p>
      <w:pPr>
        <w:spacing w:after="0" w:line="491" w:lineRule="auto"/>
        <w:jc w:val="both"/>
        <w:sectPr>
          <w:pgSz w:w="12240" w:h="15840"/>
          <w:pgMar w:header="0" w:footer="916" w:top="1260" w:bottom="1100" w:left="1720" w:right="960"/>
        </w:sectPr>
      </w:pPr>
    </w:p>
    <w:p>
      <w:pPr>
        <w:spacing w:before="90"/>
        <w:ind w:left="1174" w:right="0" w:firstLine="0"/>
        <w:jc w:val="left"/>
        <w:rPr>
          <w:b/>
          <w:sz w:val="21"/>
        </w:rPr>
      </w:pPr>
      <w:r>
        <w:rPr/>
        <mc:AlternateContent>
          <mc:Choice Requires="wps">
            <w:drawing>
              <wp:anchor distT="0" distB="0" distL="0" distR="0" allowOverlap="1" layoutInCell="1" locked="0" behindDoc="0" simplePos="0" relativeHeight="15735296">
                <wp:simplePos x="0" y="0"/>
                <wp:positionH relativeFrom="page">
                  <wp:posOffset>1995677</wp:posOffset>
                </wp:positionH>
                <wp:positionV relativeFrom="paragraph">
                  <wp:posOffset>132714</wp:posOffset>
                </wp:positionV>
                <wp:extent cx="4645025" cy="3872865"/>
                <wp:effectExtent l="0" t="0" r="0" b="0"/>
                <wp:wrapNone/>
                <wp:docPr id="46" name="Group 46"/>
                <wp:cNvGraphicFramePr>
                  <a:graphicFrameLocks/>
                </wp:cNvGraphicFramePr>
                <a:graphic>
                  <a:graphicData uri="http://schemas.microsoft.com/office/word/2010/wordprocessingGroup">
                    <wpg:wgp>
                      <wpg:cNvPr id="46" name="Group 46"/>
                      <wpg:cNvGrpSpPr/>
                      <wpg:grpSpPr>
                        <a:xfrm>
                          <a:off x="0" y="0"/>
                          <a:ext cx="4645025" cy="3872865"/>
                          <a:chExt cx="4645025" cy="3872865"/>
                        </a:xfrm>
                      </wpg:grpSpPr>
                      <wps:wsp>
                        <wps:cNvPr id="47" name="Graphic 47"/>
                        <wps:cNvSpPr/>
                        <wps:spPr>
                          <a:xfrm>
                            <a:off x="362902" y="3250310"/>
                            <a:ext cx="440055" cy="579120"/>
                          </a:xfrm>
                          <a:custGeom>
                            <a:avLst/>
                            <a:gdLst/>
                            <a:ahLst/>
                            <a:cxnLst/>
                            <a:rect l="l" t="t" r="r" b="b"/>
                            <a:pathLst>
                              <a:path w="440055" h="579120">
                                <a:moveTo>
                                  <a:pt x="439864" y="0"/>
                                </a:moveTo>
                                <a:lnTo>
                                  <a:pt x="0" y="0"/>
                                </a:lnTo>
                                <a:lnTo>
                                  <a:pt x="0" y="579120"/>
                                </a:lnTo>
                                <a:lnTo>
                                  <a:pt x="439864" y="579120"/>
                                </a:lnTo>
                                <a:lnTo>
                                  <a:pt x="439864" y="0"/>
                                </a:lnTo>
                                <a:close/>
                              </a:path>
                            </a:pathLst>
                          </a:custGeom>
                          <a:solidFill>
                            <a:srgbClr val="FF6600"/>
                          </a:solidFill>
                        </wps:spPr>
                        <wps:bodyPr wrap="square" lIns="0" tIns="0" rIns="0" bIns="0" rtlCol="0">
                          <a:prstTxWarp prst="textNoShape">
                            <a:avLst/>
                          </a:prstTxWarp>
                          <a:noAutofit/>
                        </wps:bodyPr>
                      </wps:wsp>
                      <wps:wsp>
                        <wps:cNvPr id="48" name="Graphic 48"/>
                        <wps:cNvSpPr/>
                        <wps:spPr>
                          <a:xfrm>
                            <a:off x="362902" y="3250310"/>
                            <a:ext cx="440055" cy="579120"/>
                          </a:xfrm>
                          <a:custGeom>
                            <a:avLst/>
                            <a:gdLst/>
                            <a:ahLst/>
                            <a:cxnLst/>
                            <a:rect l="l" t="t" r="r" b="b"/>
                            <a:pathLst>
                              <a:path w="440055" h="579120">
                                <a:moveTo>
                                  <a:pt x="0" y="0"/>
                                </a:moveTo>
                                <a:lnTo>
                                  <a:pt x="439864" y="0"/>
                                </a:lnTo>
                                <a:lnTo>
                                  <a:pt x="439864" y="579120"/>
                                </a:lnTo>
                                <a:lnTo>
                                  <a:pt x="0" y="579120"/>
                                </a:lnTo>
                                <a:lnTo>
                                  <a:pt x="0" y="0"/>
                                </a:lnTo>
                                <a:close/>
                              </a:path>
                            </a:pathLst>
                          </a:custGeom>
                          <a:ln w="8193">
                            <a:solidFill>
                              <a:srgbClr val="000000"/>
                            </a:solidFill>
                            <a:prstDash val="solid"/>
                          </a:ln>
                        </wps:spPr>
                        <wps:bodyPr wrap="square" lIns="0" tIns="0" rIns="0" bIns="0" rtlCol="0">
                          <a:prstTxWarp prst="textNoShape">
                            <a:avLst/>
                          </a:prstTxWarp>
                          <a:noAutofit/>
                        </wps:bodyPr>
                      </wps:wsp>
                      <wps:wsp>
                        <wps:cNvPr id="49" name="Graphic 49"/>
                        <wps:cNvSpPr/>
                        <wps:spPr>
                          <a:xfrm>
                            <a:off x="1899475" y="3216401"/>
                            <a:ext cx="439420" cy="613410"/>
                          </a:xfrm>
                          <a:custGeom>
                            <a:avLst/>
                            <a:gdLst/>
                            <a:ahLst/>
                            <a:cxnLst/>
                            <a:rect l="l" t="t" r="r" b="b"/>
                            <a:pathLst>
                              <a:path w="439420" h="613410">
                                <a:moveTo>
                                  <a:pt x="438912" y="0"/>
                                </a:moveTo>
                                <a:lnTo>
                                  <a:pt x="0" y="0"/>
                                </a:lnTo>
                                <a:lnTo>
                                  <a:pt x="0" y="613029"/>
                                </a:lnTo>
                                <a:lnTo>
                                  <a:pt x="438912" y="613029"/>
                                </a:lnTo>
                                <a:lnTo>
                                  <a:pt x="438912" y="0"/>
                                </a:lnTo>
                                <a:close/>
                              </a:path>
                            </a:pathLst>
                          </a:custGeom>
                          <a:solidFill>
                            <a:srgbClr val="FF6600"/>
                          </a:solidFill>
                        </wps:spPr>
                        <wps:bodyPr wrap="square" lIns="0" tIns="0" rIns="0" bIns="0" rtlCol="0">
                          <a:prstTxWarp prst="textNoShape">
                            <a:avLst/>
                          </a:prstTxWarp>
                          <a:noAutofit/>
                        </wps:bodyPr>
                      </wps:wsp>
                      <wps:wsp>
                        <wps:cNvPr id="50" name="Graphic 50"/>
                        <wps:cNvSpPr/>
                        <wps:spPr>
                          <a:xfrm>
                            <a:off x="1899475" y="3216401"/>
                            <a:ext cx="439420" cy="613410"/>
                          </a:xfrm>
                          <a:custGeom>
                            <a:avLst/>
                            <a:gdLst/>
                            <a:ahLst/>
                            <a:cxnLst/>
                            <a:rect l="l" t="t" r="r" b="b"/>
                            <a:pathLst>
                              <a:path w="439420" h="613410">
                                <a:moveTo>
                                  <a:pt x="0" y="0"/>
                                </a:moveTo>
                                <a:lnTo>
                                  <a:pt x="438912" y="0"/>
                                </a:lnTo>
                                <a:lnTo>
                                  <a:pt x="438912" y="613029"/>
                                </a:lnTo>
                                <a:lnTo>
                                  <a:pt x="0" y="613029"/>
                                </a:lnTo>
                                <a:lnTo>
                                  <a:pt x="0" y="0"/>
                                </a:lnTo>
                                <a:close/>
                              </a:path>
                            </a:pathLst>
                          </a:custGeom>
                          <a:ln w="8193">
                            <a:solidFill>
                              <a:srgbClr val="000000"/>
                            </a:solidFill>
                            <a:prstDash val="solid"/>
                          </a:ln>
                        </wps:spPr>
                        <wps:bodyPr wrap="square" lIns="0" tIns="0" rIns="0" bIns="0" rtlCol="0">
                          <a:prstTxWarp prst="textNoShape">
                            <a:avLst/>
                          </a:prstTxWarp>
                          <a:noAutofit/>
                        </wps:bodyPr>
                      </wps:wsp>
                      <wps:wsp>
                        <wps:cNvPr id="51" name="Graphic 51"/>
                        <wps:cNvSpPr/>
                        <wps:spPr>
                          <a:xfrm>
                            <a:off x="3435286" y="2868167"/>
                            <a:ext cx="440055" cy="961390"/>
                          </a:xfrm>
                          <a:custGeom>
                            <a:avLst/>
                            <a:gdLst/>
                            <a:ahLst/>
                            <a:cxnLst/>
                            <a:rect l="l" t="t" r="r" b="b"/>
                            <a:pathLst>
                              <a:path w="440055" h="961390">
                                <a:moveTo>
                                  <a:pt x="439864" y="0"/>
                                </a:moveTo>
                                <a:lnTo>
                                  <a:pt x="0" y="0"/>
                                </a:lnTo>
                                <a:lnTo>
                                  <a:pt x="0" y="961263"/>
                                </a:lnTo>
                                <a:lnTo>
                                  <a:pt x="439864" y="961263"/>
                                </a:lnTo>
                                <a:lnTo>
                                  <a:pt x="439864" y="0"/>
                                </a:lnTo>
                                <a:close/>
                              </a:path>
                            </a:pathLst>
                          </a:custGeom>
                          <a:solidFill>
                            <a:srgbClr val="FF6600"/>
                          </a:solidFill>
                        </wps:spPr>
                        <wps:bodyPr wrap="square" lIns="0" tIns="0" rIns="0" bIns="0" rtlCol="0">
                          <a:prstTxWarp prst="textNoShape">
                            <a:avLst/>
                          </a:prstTxWarp>
                          <a:noAutofit/>
                        </wps:bodyPr>
                      </wps:wsp>
                      <wps:wsp>
                        <wps:cNvPr id="52" name="Graphic 52"/>
                        <wps:cNvSpPr/>
                        <wps:spPr>
                          <a:xfrm>
                            <a:off x="3435286" y="2868167"/>
                            <a:ext cx="440055" cy="961390"/>
                          </a:xfrm>
                          <a:custGeom>
                            <a:avLst/>
                            <a:gdLst/>
                            <a:ahLst/>
                            <a:cxnLst/>
                            <a:rect l="l" t="t" r="r" b="b"/>
                            <a:pathLst>
                              <a:path w="440055" h="961390">
                                <a:moveTo>
                                  <a:pt x="0" y="0"/>
                                </a:moveTo>
                                <a:lnTo>
                                  <a:pt x="439864" y="0"/>
                                </a:lnTo>
                                <a:lnTo>
                                  <a:pt x="439864" y="961263"/>
                                </a:lnTo>
                                <a:lnTo>
                                  <a:pt x="0" y="961263"/>
                                </a:lnTo>
                                <a:lnTo>
                                  <a:pt x="0" y="0"/>
                                </a:lnTo>
                                <a:close/>
                              </a:path>
                            </a:pathLst>
                          </a:custGeom>
                          <a:ln w="8193">
                            <a:solidFill>
                              <a:srgbClr val="000000"/>
                            </a:solidFill>
                            <a:prstDash val="solid"/>
                          </a:ln>
                        </wps:spPr>
                        <wps:bodyPr wrap="square" lIns="0" tIns="0" rIns="0" bIns="0" rtlCol="0">
                          <a:prstTxWarp prst="textNoShape">
                            <a:avLst/>
                          </a:prstTxWarp>
                          <a:noAutofit/>
                        </wps:bodyPr>
                      </wps:wsp>
                      <wps:wsp>
                        <wps:cNvPr id="53" name="Graphic 53"/>
                        <wps:cNvSpPr/>
                        <wps:spPr>
                          <a:xfrm>
                            <a:off x="802766" y="1771269"/>
                            <a:ext cx="439420" cy="2058670"/>
                          </a:xfrm>
                          <a:custGeom>
                            <a:avLst/>
                            <a:gdLst/>
                            <a:ahLst/>
                            <a:cxnLst/>
                            <a:rect l="l" t="t" r="r" b="b"/>
                            <a:pathLst>
                              <a:path w="439420" h="2058670">
                                <a:moveTo>
                                  <a:pt x="438912" y="0"/>
                                </a:moveTo>
                                <a:lnTo>
                                  <a:pt x="0" y="0"/>
                                </a:lnTo>
                                <a:lnTo>
                                  <a:pt x="0" y="2058162"/>
                                </a:lnTo>
                                <a:lnTo>
                                  <a:pt x="438912" y="2058162"/>
                                </a:lnTo>
                                <a:lnTo>
                                  <a:pt x="438912" y="0"/>
                                </a:lnTo>
                                <a:close/>
                              </a:path>
                            </a:pathLst>
                          </a:custGeom>
                          <a:solidFill>
                            <a:srgbClr val="339966"/>
                          </a:solidFill>
                        </wps:spPr>
                        <wps:bodyPr wrap="square" lIns="0" tIns="0" rIns="0" bIns="0" rtlCol="0">
                          <a:prstTxWarp prst="textNoShape">
                            <a:avLst/>
                          </a:prstTxWarp>
                          <a:noAutofit/>
                        </wps:bodyPr>
                      </wps:wsp>
                      <wps:wsp>
                        <wps:cNvPr id="54" name="Graphic 54"/>
                        <wps:cNvSpPr/>
                        <wps:spPr>
                          <a:xfrm>
                            <a:off x="802766" y="1771269"/>
                            <a:ext cx="439420" cy="2058670"/>
                          </a:xfrm>
                          <a:custGeom>
                            <a:avLst/>
                            <a:gdLst/>
                            <a:ahLst/>
                            <a:cxnLst/>
                            <a:rect l="l" t="t" r="r" b="b"/>
                            <a:pathLst>
                              <a:path w="439420" h="2058670">
                                <a:moveTo>
                                  <a:pt x="0" y="0"/>
                                </a:moveTo>
                                <a:lnTo>
                                  <a:pt x="438912" y="0"/>
                                </a:lnTo>
                                <a:lnTo>
                                  <a:pt x="438912" y="2058162"/>
                                </a:lnTo>
                                <a:lnTo>
                                  <a:pt x="0" y="2058162"/>
                                </a:lnTo>
                                <a:lnTo>
                                  <a:pt x="0" y="0"/>
                                </a:lnTo>
                                <a:close/>
                              </a:path>
                            </a:pathLst>
                          </a:custGeom>
                          <a:ln w="8193">
                            <a:solidFill>
                              <a:srgbClr val="000000"/>
                            </a:solidFill>
                            <a:prstDash val="solid"/>
                          </a:ln>
                        </wps:spPr>
                        <wps:bodyPr wrap="square" lIns="0" tIns="0" rIns="0" bIns="0" rtlCol="0">
                          <a:prstTxWarp prst="textNoShape">
                            <a:avLst/>
                          </a:prstTxWarp>
                          <a:noAutofit/>
                        </wps:bodyPr>
                      </wps:wsp>
                      <wps:wsp>
                        <wps:cNvPr id="55" name="Graphic 55"/>
                        <wps:cNvSpPr/>
                        <wps:spPr>
                          <a:xfrm>
                            <a:off x="2338387" y="1634299"/>
                            <a:ext cx="439420" cy="2195195"/>
                          </a:xfrm>
                          <a:custGeom>
                            <a:avLst/>
                            <a:gdLst/>
                            <a:ahLst/>
                            <a:cxnLst/>
                            <a:rect l="l" t="t" r="r" b="b"/>
                            <a:pathLst>
                              <a:path w="439420" h="2195195">
                                <a:moveTo>
                                  <a:pt x="438912" y="0"/>
                                </a:moveTo>
                                <a:lnTo>
                                  <a:pt x="0" y="0"/>
                                </a:lnTo>
                                <a:lnTo>
                                  <a:pt x="0" y="2195131"/>
                                </a:lnTo>
                                <a:lnTo>
                                  <a:pt x="438912" y="2195131"/>
                                </a:lnTo>
                                <a:lnTo>
                                  <a:pt x="438912" y="0"/>
                                </a:lnTo>
                                <a:close/>
                              </a:path>
                            </a:pathLst>
                          </a:custGeom>
                          <a:solidFill>
                            <a:srgbClr val="339966"/>
                          </a:solidFill>
                        </wps:spPr>
                        <wps:bodyPr wrap="square" lIns="0" tIns="0" rIns="0" bIns="0" rtlCol="0">
                          <a:prstTxWarp prst="textNoShape">
                            <a:avLst/>
                          </a:prstTxWarp>
                          <a:noAutofit/>
                        </wps:bodyPr>
                      </wps:wsp>
                      <wps:wsp>
                        <wps:cNvPr id="56" name="Graphic 56"/>
                        <wps:cNvSpPr/>
                        <wps:spPr>
                          <a:xfrm>
                            <a:off x="2338387" y="1634299"/>
                            <a:ext cx="439420" cy="2195195"/>
                          </a:xfrm>
                          <a:custGeom>
                            <a:avLst/>
                            <a:gdLst/>
                            <a:ahLst/>
                            <a:cxnLst/>
                            <a:rect l="l" t="t" r="r" b="b"/>
                            <a:pathLst>
                              <a:path w="439420" h="2195195">
                                <a:moveTo>
                                  <a:pt x="0" y="0"/>
                                </a:moveTo>
                                <a:lnTo>
                                  <a:pt x="438912" y="0"/>
                                </a:lnTo>
                                <a:lnTo>
                                  <a:pt x="438912" y="2195131"/>
                                </a:lnTo>
                                <a:lnTo>
                                  <a:pt x="0" y="2195131"/>
                                </a:lnTo>
                                <a:lnTo>
                                  <a:pt x="0" y="0"/>
                                </a:lnTo>
                                <a:close/>
                              </a:path>
                            </a:pathLst>
                          </a:custGeom>
                          <a:ln w="8193">
                            <a:solidFill>
                              <a:srgbClr val="000000"/>
                            </a:solidFill>
                            <a:prstDash val="solid"/>
                          </a:ln>
                        </wps:spPr>
                        <wps:bodyPr wrap="square" lIns="0" tIns="0" rIns="0" bIns="0" rtlCol="0">
                          <a:prstTxWarp prst="textNoShape">
                            <a:avLst/>
                          </a:prstTxWarp>
                          <a:noAutofit/>
                        </wps:bodyPr>
                      </wps:wsp>
                      <wps:wsp>
                        <wps:cNvPr id="57" name="Graphic 57"/>
                        <wps:cNvSpPr/>
                        <wps:spPr>
                          <a:xfrm>
                            <a:off x="3875151" y="988694"/>
                            <a:ext cx="439420" cy="2840990"/>
                          </a:xfrm>
                          <a:custGeom>
                            <a:avLst/>
                            <a:gdLst/>
                            <a:ahLst/>
                            <a:cxnLst/>
                            <a:rect l="l" t="t" r="r" b="b"/>
                            <a:pathLst>
                              <a:path w="439420" h="2840990">
                                <a:moveTo>
                                  <a:pt x="438912" y="0"/>
                                </a:moveTo>
                                <a:lnTo>
                                  <a:pt x="0" y="0"/>
                                </a:lnTo>
                                <a:lnTo>
                                  <a:pt x="0" y="2840736"/>
                                </a:lnTo>
                                <a:lnTo>
                                  <a:pt x="438912" y="2840736"/>
                                </a:lnTo>
                                <a:lnTo>
                                  <a:pt x="438912" y="0"/>
                                </a:lnTo>
                                <a:close/>
                              </a:path>
                            </a:pathLst>
                          </a:custGeom>
                          <a:solidFill>
                            <a:srgbClr val="339966"/>
                          </a:solidFill>
                        </wps:spPr>
                        <wps:bodyPr wrap="square" lIns="0" tIns="0" rIns="0" bIns="0" rtlCol="0">
                          <a:prstTxWarp prst="textNoShape">
                            <a:avLst/>
                          </a:prstTxWarp>
                          <a:noAutofit/>
                        </wps:bodyPr>
                      </wps:wsp>
                      <wps:wsp>
                        <wps:cNvPr id="58" name="Graphic 58"/>
                        <wps:cNvSpPr/>
                        <wps:spPr>
                          <a:xfrm>
                            <a:off x="3875151" y="988694"/>
                            <a:ext cx="439420" cy="2840990"/>
                          </a:xfrm>
                          <a:custGeom>
                            <a:avLst/>
                            <a:gdLst/>
                            <a:ahLst/>
                            <a:cxnLst/>
                            <a:rect l="l" t="t" r="r" b="b"/>
                            <a:pathLst>
                              <a:path w="439420" h="2840990">
                                <a:moveTo>
                                  <a:pt x="0" y="0"/>
                                </a:moveTo>
                                <a:lnTo>
                                  <a:pt x="438912" y="0"/>
                                </a:lnTo>
                                <a:lnTo>
                                  <a:pt x="438912" y="2840736"/>
                                </a:lnTo>
                                <a:lnTo>
                                  <a:pt x="0" y="2840736"/>
                                </a:lnTo>
                                <a:lnTo>
                                  <a:pt x="0" y="0"/>
                                </a:lnTo>
                                <a:close/>
                              </a:path>
                            </a:pathLst>
                          </a:custGeom>
                          <a:ln w="8193">
                            <a:solidFill>
                              <a:srgbClr val="000000"/>
                            </a:solidFill>
                            <a:prstDash val="solid"/>
                          </a:ln>
                        </wps:spPr>
                        <wps:bodyPr wrap="square" lIns="0" tIns="0" rIns="0" bIns="0" rtlCol="0">
                          <a:prstTxWarp prst="textNoShape">
                            <a:avLst/>
                          </a:prstTxWarp>
                          <a:noAutofit/>
                        </wps:bodyPr>
                      </wps:wsp>
                      <wps:wsp>
                        <wps:cNvPr id="59" name="Graphic 59"/>
                        <wps:cNvSpPr/>
                        <wps:spPr>
                          <a:xfrm>
                            <a:off x="563880" y="337375"/>
                            <a:ext cx="3550285" cy="2994660"/>
                          </a:xfrm>
                          <a:custGeom>
                            <a:avLst/>
                            <a:gdLst/>
                            <a:ahLst/>
                            <a:cxnLst/>
                            <a:rect l="l" t="t" r="r" b="b"/>
                            <a:pathLst>
                              <a:path w="3550285" h="2994660">
                                <a:moveTo>
                                  <a:pt x="19050" y="2912935"/>
                                </a:moveTo>
                                <a:lnTo>
                                  <a:pt x="19050" y="2832735"/>
                                </a:lnTo>
                              </a:path>
                              <a:path w="3550285" h="2994660">
                                <a:moveTo>
                                  <a:pt x="0" y="2832735"/>
                                </a:moveTo>
                                <a:lnTo>
                                  <a:pt x="38862" y="2832735"/>
                                </a:lnTo>
                              </a:path>
                              <a:path w="3550285" h="2994660">
                                <a:moveTo>
                                  <a:pt x="1554670" y="2879026"/>
                                </a:moveTo>
                                <a:lnTo>
                                  <a:pt x="1554670" y="2794254"/>
                                </a:lnTo>
                              </a:path>
                              <a:path w="3550285" h="2994660">
                                <a:moveTo>
                                  <a:pt x="1535620" y="2794254"/>
                                </a:moveTo>
                                <a:lnTo>
                                  <a:pt x="1574672" y="2794254"/>
                                </a:lnTo>
                              </a:path>
                              <a:path w="3550285" h="2994660">
                                <a:moveTo>
                                  <a:pt x="3091243" y="2530792"/>
                                </a:moveTo>
                                <a:lnTo>
                                  <a:pt x="3091243" y="2250376"/>
                                </a:lnTo>
                              </a:path>
                              <a:path w="3550285" h="2994660">
                                <a:moveTo>
                                  <a:pt x="3072384" y="2250376"/>
                                </a:moveTo>
                                <a:lnTo>
                                  <a:pt x="3111246" y="2250376"/>
                                </a:lnTo>
                              </a:path>
                              <a:path w="3550285" h="2994660">
                                <a:moveTo>
                                  <a:pt x="19050" y="2912935"/>
                                </a:moveTo>
                                <a:lnTo>
                                  <a:pt x="19050" y="2994469"/>
                                </a:lnTo>
                              </a:path>
                              <a:path w="3550285" h="2994660">
                                <a:moveTo>
                                  <a:pt x="0" y="2994469"/>
                                </a:moveTo>
                                <a:lnTo>
                                  <a:pt x="38862" y="2994469"/>
                                </a:lnTo>
                              </a:path>
                              <a:path w="3550285" h="2994660">
                                <a:moveTo>
                                  <a:pt x="1554670" y="2879026"/>
                                </a:moveTo>
                                <a:lnTo>
                                  <a:pt x="1554670" y="2964942"/>
                                </a:lnTo>
                              </a:path>
                              <a:path w="3550285" h="2994660">
                                <a:moveTo>
                                  <a:pt x="1535620" y="2964942"/>
                                </a:moveTo>
                                <a:lnTo>
                                  <a:pt x="1574672" y="2964942"/>
                                </a:lnTo>
                              </a:path>
                              <a:path w="3550285" h="2994660">
                                <a:moveTo>
                                  <a:pt x="3091243" y="2530792"/>
                                </a:moveTo>
                                <a:lnTo>
                                  <a:pt x="3091243" y="2811208"/>
                                </a:lnTo>
                              </a:path>
                              <a:path w="3550285" h="2994660">
                                <a:moveTo>
                                  <a:pt x="3072384" y="2811208"/>
                                </a:moveTo>
                                <a:lnTo>
                                  <a:pt x="3111246" y="2811208"/>
                                </a:lnTo>
                              </a:path>
                              <a:path w="3550285" h="2994660">
                                <a:moveTo>
                                  <a:pt x="457962" y="1433893"/>
                                </a:moveTo>
                                <a:lnTo>
                                  <a:pt x="457962" y="888682"/>
                                </a:lnTo>
                              </a:path>
                              <a:path w="3550285" h="2994660">
                                <a:moveTo>
                                  <a:pt x="438912" y="888682"/>
                                </a:moveTo>
                                <a:lnTo>
                                  <a:pt x="477774" y="888682"/>
                                </a:lnTo>
                              </a:path>
                              <a:path w="3550285" h="2994660">
                                <a:moveTo>
                                  <a:pt x="1993582" y="1296924"/>
                                </a:moveTo>
                                <a:lnTo>
                                  <a:pt x="1993582" y="595883"/>
                                </a:lnTo>
                              </a:path>
                              <a:path w="3550285" h="2994660">
                                <a:moveTo>
                                  <a:pt x="1974532" y="595883"/>
                                </a:moveTo>
                                <a:lnTo>
                                  <a:pt x="2013584" y="595883"/>
                                </a:lnTo>
                              </a:path>
                              <a:path w="3550285" h="2994660">
                                <a:moveTo>
                                  <a:pt x="3530155" y="651319"/>
                                </a:moveTo>
                                <a:lnTo>
                                  <a:pt x="3530155" y="0"/>
                                </a:lnTo>
                              </a:path>
                              <a:path w="3550285" h="2994660">
                                <a:moveTo>
                                  <a:pt x="3511296" y="0"/>
                                </a:moveTo>
                                <a:lnTo>
                                  <a:pt x="3550157" y="0"/>
                                </a:lnTo>
                              </a:path>
                              <a:path w="3550285" h="2994660">
                                <a:moveTo>
                                  <a:pt x="457962" y="1433893"/>
                                </a:moveTo>
                                <a:lnTo>
                                  <a:pt x="457962" y="1977771"/>
                                </a:lnTo>
                              </a:path>
                              <a:path w="3550285" h="2994660">
                                <a:moveTo>
                                  <a:pt x="438912" y="1977771"/>
                                </a:moveTo>
                                <a:lnTo>
                                  <a:pt x="477774" y="1977771"/>
                                </a:lnTo>
                              </a:path>
                              <a:path w="3550285" h="2994660">
                                <a:moveTo>
                                  <a:pt x="1993582" y="1296924"/>
                                </a:moveTo>
                                <a:lnTo>
                                  <a:pt x="1993582" y="1999297"/>
                                </a:lnTo>
                              </a:path>
                              <a:path w="3550285" h="2994660">
                                <a:moveTo>
                                  <a:pt x="1974532" y="1999297"/>
                                </a:moveTo>
                                <a:lnTo>
                                  <a:pt x="2013584" y="1999297"/>
                                </a:lnTo>
                              </a:path>
                              <a:path w="3550285" h="2994660">
                                <a:moveTo>
                                  <a:pt x="3530155" y="651319"/>
                                </a:moveTo>
                                <a:lnTo>
                                  <a:pt x="3530155" y="1301496"/>
                                </a:lnTo>
                              </a:path>
                              <a:path w="3550285" h="2994660">
                                <a:moveTo>
                                  <a:pt x="3511296" y="1301496"/>
                                </a:moveTo>
                                <a:lnTo>
                                  <a:pt x="3550157" y="1301496"/>
                                </a:lnTo>
                              </a:path>
                            </a:pathLst>
                          </a:custGeom>
                          <a:ln w="8193">
                            <a:solidFill>
                              <a:srgbClr val="000000"/>
                            </a:solidFill>
                            <a:prstDash val="solid"/>
                          </a:ln>
                        </wps:spPr>
                        <wps:bodyPr wrap="square" lIns="0" tIns="0" rIns="0" bIns="0" rtlCol="0">
                          <a:prstTxWarp prst="textNoShape">
                            <a:avLst/>
                          </a:prstTxWarp>
                          <a:noAutofit/>
                        </wps:bodyPr>
                      </wps:wsp>
                      <wps:wsp>
                        <wps:cNvPr id="60" name="Graphic 60"/>
                        <wps:cNvSpPr/>
                        <wps:spPr>
                          <a:xfrm>
                            <a:off x="0" y="1523"/>
                            <a:ext cx="4643755" cy="3870960"/>
                          </a:xfrm>
                          <a:custGeom>
                            <a:avLst/>
                            <a:gdLst/>
                            <a:ahLst/>
                            <a:cxnLst/>
                            <a:rect l="l" t="t" r="r" b="b"/>
                            <a:pathLst>
                              <a:path w="4643755" h="3870960">
                                <a:moveTo>
                                  <a:pt x="34480" y="0"/>
                                </a:moveTo>
                                <a:lnTo>
                                  <a:pt x="34480" y="3827906"/>
                                </a:lnTo>
                              </a:path>
                              <a:path w="4643755" h="3870960">
                                <a:moveTo>
                                  <a:pt x="0" y="3827906"/>
                                </a:moveTo>
                                <a:lnTo>
                                  <a:pt x="34480" y="3827906"/>
                                </a:lnTo>
                              </a:path>
                              <a:path w="4643755" h="3870960">
                                <a:moveTo>
                                  <a:pt x="0" y="3402710"/>
                                </a:moveTo>
                                <a:lnTo>
                                  <a:pt x="34480" y="3402710"/>
                                </a:lnTo>
                              </a:path>
                              <a:path w="4643755" h="3870960">
                                <a:moveTo>
                                  <a:pt x="0" y="2977514"/>
                                </a:moveTo>
                                <a:lnTo>
                                  <a:pt x="34480" y="2977514"/>
                                </a:lnTo>
                              </a:path>
                              <a:path w="4643755" h="3870960">
                                <a:moveTo>
                                  <a:pt x="0" y="2552318"/>
                                </a:moveTo>
                                <a:lnTo>
                                  <a:pt x="34480" y="2552318"/>
                                </a:lnTo>
                              </a:path>
                              <a:path w="4643755" h="3870960">
                                <a:moveTo>
                                  <a:pt x="0" y="2127122"/>
                                </a:moveTo>
                                <a:lnTo>
                                  <a:pt x="34480" y="2127122"/>
                                </a:lnTo>
                              </a:path>
                              <a:path w="4643755" h="3870960">
                                <a:moveTo>
                                  <a:pt x="0" y="1700783"/>
                                </a:moveTo>
                                <a:lnTo>
                                  <a:pt x="34480" y="1700783"/>
                                </a:lnTo>
                              </a:path>
                              <a:path w="4643755" h="3870960">
                                <a:moveTo>
                                  <a:pt x="0" y="1275587"/>
                                </a:moveTo>
                                <a:lnTo>
                                  <a:pt x="34480" y="1275587"/>
                                </a:lnTo>
                              </a:path>
                              <a:path w="4643755" h="3870960">
                                <a:moveTo>
                                  <a:pt x="0" y="850391"/>
                                </a:moveTo>
                                <a:lnTo>
                                  <a:pt x="34480" y="850391"/>
                                </a:lnTo>
                              </a:path>
                              <a:path w="4643755" h="3870960">
                                <a:moveTo>
                                  <a:pt x="0" y="425195"/>
                                </a:moveTo>
                                <a:lnTo>
                                  <a:pt x="34480" y="425195"/>
                                </a:lnTo>
                              </a:path>
                              <a:path w="4643755" h="3870960">
                                <a:moveTo>
                                  <a:pt x="0" y="0"/>
                                </a:moveTo>
                                <a:lnTo>
                                  <a:pt x="34480" y="0"/>
                                </a:lnTo>
                              </a:path>
                              <a:path w="4643755" h="3870960">
                                <a:moveTo>
                                  <a:pt x="34480" y="3827906"/>
                                </a:moveTo>
                                <a:lnTo>
                                  <a:pt x="4643437" y="3827906"/>
                                </a:lnTo>
                              </a:path>
                              <a:path w="4643755" h="3870960">
                                <a:moveTo>
                                  <a:pt x="34480" y="3870769"/>
                                </a:moveTo>
                                <a:lnTo>
                                  <a:pt x="34480" y="3827906"/>
                                </a:lnTo>
                              </a:path>
                              <a:path w="4643755" h="3870960">
                                <a:moveTo>
                                  <a:pt x="1571053" y="3870769"/>
                                </a:moveTo>
                                <a:lnTo>
                                  <a:pt x="1571053" y="3827906"/>
                                </a:lnTo>
                              </a:path>
                              <a:path w="4643755" h="3870960">
                                <a:moveTo>
                                  <a:pt x="3106864" y="3870769"/>
                                </a:moveTo>
                                <a:lnTo>
                                  <a:pt x="3106864" y="3827906"/>
                                </a:lnTo>
                              </a:path>
                              <a:path w="4643755" h="3870960">
                                <a:moveTo>
                                  <a:pt x="4643437" y="3870769"/>
                                </a:moveTo>
                                <a:lnTo>
                                  <a:pt x="4643437" y="3827906"/>
                                </a:lnTo>
                              </a:path>
                            </a:pathLst>
                          </a:custGeom>
                          <a:ln w="3048">
                            <a:solidFill>
                              <a:srgbClr val="000000"/>
                            </a:solidFill>
                            <a:prstDash val="solid"/>
                          </a:ln>
                        </wps:spPr>
                        <wps:bodyPr wrap="square" lIns="0" tIns="0" rIns="0" bIns="0" rtlCol="0">
                          <a:prstTxWarp prst="textNoShape">
                            <a:avLst/>
                          </a:prstTxWarp>
                          <a:noAutofit/>
                        </wps:bodyPr>
                      </wps:wsp>
                      <wps:wsp>
                        <wps:cNvPr id="61" name="Textbox 61"/>
                        <wps:cNvSpPr txBox="1"/>
                        <wps:spPr>
                          <a:xfrm>
                            <a:off x="4048505" y="14310"/>
                            <a:ext cx="81915" cy="132080"/>
                          </a:xfrm>
                          <a:prstGeom prst="rect">
                            <a:avLst/>
                          </a:prstGeom>
                        </wps:spPr>
                        <wps:txbx>
                          <w:txbxContent>
                            <w:p>
                              <w:pPr>
                                <w:spacing w:line="208" w:lineRule="exact" w:before="0"/>
                                <w:ind w:left="0" w:right="0" w:firstLine="0"/>
                                <w:jc w:val="left"/>
                                <w:rPr>
                                  <w:rFonts w:ascii="Calibri"/>
                                  <w:sz w:val="20"/>
                                </w:rPr>
                              </w:pPr>
                              <w:r>
                                <w:rPr>
                                  <w:rFonts w:ascii="Calibri"/>
                                  <w:spacing w:val="-10"/>
                                  <w:w w:val="105"/>
                                  <w:sz w:val="20"/>
                                </w:rPr>
                                <w:t>b</w:t>
                              </w:r>
                            </w:p>
                          </w:txbxContent>
                        </wps:txbx>
                        <wps:bodyPr wrap="square" lIns="0" tIns="0" rIns="0" bIns="0" rtlCol="0">
                          <a:noAutofit/>
                        </wps:bodyPr>
                      </wps:wsp>
                      <wps:wsp>
                        <wps:cNvPr id="62" name="Textbox 62"/>
                        <wps:cNvSpPr txBox="1"/>
                        <wps:spPr>
                          <a:xfrm>
                            <a:off x="1018794" y="852510"/>
                            <a:ext cx="81915" cy="132080"/>
                          </a:xfrm>
                          <a:prstGeom prst="rect">
                            <a:avLst/>
                          </a:prstGeom>
                        </wps:spPr>
                        <wps:txbx>
                          <w:txbxContent>
                            <w:p>
                              <w:pPr>
                                <w:spacing w:line="208" w:lineRule="exact" w:before="0"/>
                                <w:ind w:left="0" w:right="0" w:firstLine="0"/>
                                <w:jc w:val="left"/>
                                <w:rPr>
                                  <w:rFonts w:ascii="Calibri"/>
                                  <w:sz w:val="20"/>
                                </w:rPr>
                              </w:pPr>
                              <w:r>
                                <w:rPr>
                                  <w:rFonts w:ascii="Calibri"/>
                                  <w:spacing w:val="-10"/>
                                  <w:w w:val="105"/>
                                  <w:sz w:val="20"/>
                                </w:rPr>
                                <w:t>b</w:t>
                              </w:r>
                            </w:p>
                          </w:txbxContent>
                        </wps:txbx>
                        <wps:bodyPr wrap="square" lIns="0" tIns="0" rIns="0" bIns="0" rtlCol="0">
                          <a:noAutofit/>
                        </wps:bodyPr>
                      </wps:wsp>
                      <wps:wsp>
                        <wps:cNvPr id="63" name="Textbox 63"/>
                        <wps:cNvSpPr txBox="1"/>
                        <wps:spPr>
                          <a:xfrm>
                            <a:off x="3615690" y="2181438"/>
                            <a:ext cx="76200" cy="132080"/>
                          </a:xfrm>
                          <a:prstGeom prst="rect">
                            <a:avLst/>
                          </a:prstGeom>
                        </wps:spPr>
                        <wps:txbx>
                          <w:txbxContent>
                            <w:p>
                              <w:pPr>
                                <w:spacing w:line="208" w:lineRule="exact" w:before="0"/>
                                <w:ind w:left="0" w:right="0" w:firstLine="0"/>
                                <w:jc w:val="left"/>
                                <w:rPr>
                                  <w:rFonts w:ascii="Calibri"/>
                                  <w:sz w:val="20"/>
                                </w:rPr>
                              </w:pPr>
                              <w:r>
                                <w:rPr>
                                  <w:rFonts w:ascii="Calibri"/>
                                  <w:spacing w:val="-10"/>
                                  <w:w w:val="105"/>
                                  <w:sz w:val="20"/>
                                </w:rPr>
                                <w:t>a</w:t>
                              </w:r>
                            </w:p>
                          </w:txbxContent>
                        </wps:txbx>
                        <wps:bodyPr wrap="square" lIns="0" tIns="0" rIns="0" bIns="0" rtlCol="0">
                          <a:noAutofit/>
                        </wps:bodyPr>
                      </wps:wsp>
                      <wps:wsp>
                        <wps:cNvPr id="64" name="Textbox 64"/>
                        <wps:cNvSpPr txBox="1"/>
                        <wps:spPr>
                          <a:xfrm>
                            <a:off x="537209" y="2885526"/>
                            <a:ext cx="76200" cy="132080"/>
                          </a:xfrm>
                          <a:prstGeom prst="rect">
                            <a:avLst/>
                          </a:prstGeom>
                        </wps:spPr>
                        <wps:txbx>
                          <w:txbxContent>
                            <w:p>
                              <w:pPr>
                                <w:spacing w:line="208" w:lineRule="exact" w:before="0"/>
                                <w:ind w:left="0" w:right="0" w:firstLine="0"/>
                                <w:jc w:val="left"/>
                                <w:rPr>
                                  <w:rFonts w:ascii="Calibri"/>
                                  <w:sz w:val="20"/>
                                </w:rPr>
                              </w:pPr>
                              <w:r>
                                <w:rPr>
                                  <w:rFonts w:ascii="Calibri"/>
                                  <w:spacing w:val="-10"/>
                                  <w:w w:val="105"/>
                                  <w:sz w:val="20"/>
                                </w:rPr>
                                <w:t>a</w:t>
                              </w:r>
                            </w:p>
                          </w:txbxContent>
                        </wps:txbx>
                        <wps:bodyPr wrap="square" lIns="0" tIns="0" rIns="0" bIns="0" rtlCol="0">
                          <a:noAutofit/>
                        </wps:bodyPr>
                      </wps:wsp>
                    </wpg:wgp>
                  </a:graphicData>
                </a:graphic>
              </wp:anchor>
            </w:drawing>
          </mc:Choice>
          <mc:Fallback>
            <w:pict>
              <v:group style="position:absolute;margin-left:157.139999pt;margin-top:10.45pt;width:365.75pt;height:304.95pt;mso-position-horizontal-relative:page;mso-position-vertical-relative:paragraph;z-index:15735296" id="docshapegroup37" coordorigin="3143,209" coordsize="7315,6099">
                <v:rect style="position:absolute;left:3714;top:5327;width:693;height:912" id="docshape38" filled="true" fillcolor="#ff6600" stroked="false">
                  <v:fill type="solid"/>
                </v:rect>
                <v:rect style="position:absolute;left:3714;top:5327;width:693;height:912" id="docshape39" filled="false" stroked="true" strokeweight=".64513pt" strokecolor="#000000">
                  <v:stroke dashstyle="solid"/>
                </v:rect>
                <v:rect style="position:absolute;left:6134;top:5274;width:692;height:966" id="docshape40" filled="true" fillcolor="#ff6600" stroked="false">
                  <v:fill type="solid"/>
                </v:rect>
                <v:rect style="position:absolute;left:6134;top:5274;width:692;height:966" id="docshape41" filled="false" stroked="true" strokeweight=".64513pt" strokecolor="#000000">
                  <v:stroke dashstyle="solid"/>
                </v:rect>
                <v:rect style="position:absolute;left:8552;top:4725;width:693;height:1514" id="docshape42" filled="true" fillcolor="#ff6600" stroked="false">
                  <v:fill type="solid"/>
                </v:rect>
                <v:rect style="position:absolute;left:8552;top:4725;width:693;height:1514" id="docshape43" filled="false" stroked="true" strokeweight=".64513pt" strokecolor="#000000">
                  <v:stroke dashstyle="solid"/>
                </v:rect>
                <v:rect style="position:absolute;left:4407;top:2998;width:692;height:3242" id="docshape44" filled="true" fillcolor="#339966" stroked="false">
                  <v:fill type="solid"/>
                </v:rect>
                <v:rect style="position:absolute;left:4407;top:2998;width:692;height:3242" id="docshape45" filled="false" stroked="true" strokeweight=".64513pt" strokecolor="#000000">
                  <v:stroke dashstyle="solid"/>
                </v:rect>
                <v:rect style="position:absolute;left:6825;top:2782;width:692;height:3457" id="docshape46" filled="true" fillcolor="#339966" stroked="false">
                  <v:fill type="solid"/>
                </v:rect>
                <v:rect style="position:absolute;left:6825;top:2782;width:692;height:3457" id="docshape47" filled="false" stroked="true" strokeweight=".64513pt" strokecolor="#000000">
                  <v:stroke dashstyle="solid"/>
                </v:rect>
                <v:rect style="position:absolute;left:9245;top:1766;width:692;height:4474" id="docshape48" filled="true" fillcolor="#339966" stroked="false">
                  <v:fill type="solid"/>
                </v:rect>
                <v:rect style="position:absolute;left:9245;top:1766;width:692;height:4474" id="docshape49" filled="false" stroked="true" strokeweight=".64513pt" strokecolor="#000000">
                  <v:stroke dashstyle="solid"/>
                </v:rect>
                <v:shape style="position:absolute;left:4030;top:740;width:5591;height:4716" id="docshape50" coordorigin="4031,740" coordsize="5591,4716" path="m4061,5328l4061,5201m4031,5201l4092,5201m6479,5274l6479,5141m6449,5141l6511,5141m8899,4726l8899,4284m8869,4284l8930,4284m4061,5328l4061,5456m4031,5456l4092,5456m6479,5274l6479,5410m6449,5410l6511,5410m8899,4726l8899,5167m8869,5167l8930,5167m4752,2998l4752,2140m4722,2140l4783,2140m7170,2783l7170,1679m7140,1679l7202,1679m9590,1766l9590,740m9560,740l9622,740m4752,2998l4752,3855m4722,3855l4783,3855m7170,2783l7170,3889m7140,3889l7202,3889m9590,1766l9590,2790m9560,2790l9622,2790e" filled="false" stroked="true" strokeweight=".64513pt" strokecolor="#000000">
                  <v:path arrowok="t"/>
                  <v:stroke dashstyle="solid"/>
                </v:shape>
                <v:shape style="position:absolute;left:3142;top:211;width:7313;height:6096" id="docshape51" coordorigin="3143,211" coordsize="7313,6096" path="m3197,211l3197,6240m3143,6240l3197,6240m3143,5570l3197,5570m3143,4900l3197,4900m3143,4231l3197,4231m3143,3561l3197,3561m3143,2890l3197,2890m3143,2220l3197,2220m3143,1551l3197,1551m3143,881l3197,881m3143,211l3197,211m3197,6240l10455,6240m3197,6307l3197,6240m5617,6307l5617,6240m8035,6307l8035,6240m10455,6307l10455,6240e" filled="false" stroked="true" strokeweight=".24pt" strokecolor="#000000">
                  <v:path arrowok="t"/>
                  <v:stroke dashstyle="solid"/>
                </v:shape>
                <v:shape style="position:absolute;left:9518;top:231;width:129;height:208" type="#_x0000_t202" id="docshape52" filled="false" stroked="false">
                  <v:textbox inset="0,0,0,0">
                    <w:txbxContent>
                      <w:p>
                        <w:pPr>
                          <w:spacing w:line="208" w:lineRule="exact" w:before="0"/>
                          <w:ind w:left="0" w:right="0" w:firstLine="0"/>
                          <w:jc w:val="left"/>
                          <w:rPr>
                            <w:rFonts w:ascii="Calibri"/>
                            <w:sz w:val="20"/>
                          </w:rPr>
                        </w:pPr>
                        <w:r>
                          <w:rPr>
                            <w:rFonts w:ascii="Calibri"/>
                            <w:spacing w:val="-10"/>
                            <w:w w:val="105"/>
                            <w:sz w:val="20"/>
                          </w:rPr>
                          <w:t>b</w:t>
                        </w:r>
                      </w:p>
                    </w:txbxContent>
                  </v:textbox>
                  <w10:wrap type="none"/>
                </v:shape>
                <v:shape style="position:absolute;left:4747;top:1551;width:129;height:208" type="#_x0000_t202" id="docshape53" filled="false" stroked="false">
                  <v:textbox inset="0,0,0,0">
                    <w:txbxContent>
                      <w:p>
                        <w:pPr>
                          <w:spacing w:line="208" w:lineRule="exact" w:before="0"/>
                          <w:ind w:left="0" w:right="0" w:firstLine="0"/>
                          <w:jc w:val="left"/>
                          <w:rPr>
                            <w:rFonts w:ascii="Calibri"/>
                            <w:sz w:val="20"/>
                          </w:rPr>
                        </w:pPr>
                        <w:r>
                          <w:rPr>
                            <w:rFonts w:ascii="Calibri"/>
                            <w:spacing w:val="-10"/>
                            <w:w w:val="105"/>
                            <w:sz w:val="20"/>
                          </w:rPr>
                          <w:t>b</w:t>
                        </w:r>
                      </w:p>
                    </w:txbxContent>
                  </v:textbox>
                  <w10:wrap type="none"/>
                </v:shape>
                <v:shape style="position:absolute;left:8836;top:3644;width:120;height:208" type="#_x0000_t202" id="docshape54" filled="false" stroked="false">
                  <v:textbox inset="0,0,0,0">
                    <w:txbxContent>
                      <w:p>
                        <w:pPr>
                          <w:spacing w:line="208" w:lineRule="exact" w:before="0"/>
                          <w:ind w:left="0" w:right="0" w:firstLine="0"/>
                          <w:jc w:val="left"/>
                          <w:rPr>
                            <w:rFonts w:ascii="Calibri"/>
                            <w:sz w:val="20"/>
                          </w:rPr>
                        </w:pPr>
                        <w:r>
                          <w:rPr>
                            <w:rFonts w:ascii="Calibri"/>
                            <w:spacing w:val="-10"/>
                            <w:w w:val="105"/>
                            <w:sz w:val="20"/>
                          </w:rPr>
                          <w:t>a</w:t>
                        </w:r>
                      </w:p>
                    </w:txbxContent>
                  </v:textbox>
                  <w10:wrap type="none"/>
                </v:shape>
                <v:shape style="position:absolute;left:3988;top:4753;width:120;height:208" type="#_x0000_t202" id="docshape55" filled="false" stroked="false">
                  <v:textbox inset="0,0,0,0">
                    <w:txbxContent>
                      <w:p>
                        <w:pPr>
                          <w:spacing w:line="208" w:lineRule="exact" w:before="0"/>
                          <w:ind w:left="0" w:right="0" w:firstLine="0"/>
                          <w:jc w:val="left"/>
                          <w:rPr>
                            <w:rFonts w:ascii="Calibri"/>
                            <w:sz w:val="20"/>
                          </w:rPr>
                        </w:pPr>
                        <w:r>
                          <w:rPr>
                            <w:rFonts w:ascii="Calibri"/>
                            <w:spacing w:val="-10"/>
                            <w:w w:val="105"/>
                            <w:sz w:val="20"/>
                          </w:rPr>
                          <w:t>a</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5808">
                <wp:simplePos x="0" y="0"/>
                <wp:positionH relativeFrom="page">
                  <wp:posOffset>4733544</wp:posOffset>
                </wp:positionH>
                <wp:positionV relativeFrom="paragraph">
                  <wp:posOffset>19557</wp:posOffset>
                </wp:positionV>
                <wp:extent cx="851535" cy="424180"/>
                <wp:effectExtent l="0" t="0" r="0" b="0"/>
                <wp:wrapNone/>
                <wp:docPr id="65" name="Group 65"/>
                <wp:cNvGraphicFramePr>
                  <a:graphicFrameLocks/>
                </wp:cNvGraphicFramePr>
                <a:graphic>
                  <a:graphicData uri="http://schemas.microsoft.com/office/word/2010/wordprocessingGroup">
                    <wpg:wgp>
                      <wpg:cNvPr id="65" name="Group 65"/>
                      <wpg:cNvGrpSpPr/>
                      <wpg:grpSpPr>
                        <a:xfrm>
                          <a:off x="0" y="0"/>
                          <a:ext cx="851535" cy="424180"/>
                          <a:chExt cx="851535" cy="424180"/>
                        </a:xfrm>
                      </wpg:grpSpPr>
                      <wps:wsp>
                        <wps:cNvPr id="66" name="Graphic 66"/>
                        <wps:cNvSpPr/>
                        <wps:spPr>
                          <a:xfrm>
                            <a:off x="38671" y="67056"/>
                            <a:ext cx="76200" cy="95250"/>
                          </a:xfrm>
                          <a:custGeom>
                            <a:avLst/>
                            <a:gdLst/>
                            <a:ahLst/>
                            <a:cxnLst/>
                            <a:rect l="l" t="t" r="r" b="b"/>
                            <a:pathLst>
                              <a:path w="76200" h="95250">
                                <a:moveTo>
                                  <a:pt x="76009" y="0"/>
                                </a:moveTo>
                                <a:lnTo>
                                  <a:pt x="0" y="0"/>
                                </a:lnTo>
                                <a:lnTo>
                                  <a:pt x="0" y="95059"/>
                                </a:lnTo>
                                <a:lnTo>
                                  <a:pt x="76009" y="95059"/>
                                </a:lnTo>
                                <a:lnTo>
                                  <a:pt x="76009" y="0"/>
                                </a:lnTo>
                                <a:close/>
                              </a:path>
                            </a:pathLst>
                          </a:custGeom>
                          <a:solidFill>
                            <a:srgbClr val="FF6600"/>
                          </a:solidFill>
                        </wps:spPr>
                        <wps:bodyPr wrap="square" lIns="0" tIns="0" rIns="0" bIns="0" rtlCol="0">
                          <a:prstTxWarp prst="textNoShape">
                            <a:avLst/>
                          </a:prstTxWarp>
                          <a:noAutofit/>
                        </wps:bodyPr>
                      </wps:wsp>
                      <wps:wsp>
                        <wps:cNvPr id="67" name="Graphic 67"/>
                        <wps:cNvSpPr/>
                        <wps:spPr>
                          <a:xfrm>
                            <a:off x="38671" y="67056"/>
                            <a:ext cx="76200" cy="95250"/>
                          </a:xfrm>
                          <a:custGeom>
                            <a:avLst/>
                            <a:gdLst/>
                            <a:ahLst/>
                            <a:cxnLst/>
                            <a:rect l="l" t="t" r="r" b="b"/>
                            <a:pathLst>
                              <a:path w="76200" h="95250">
                                <a:moveTo>
                                  <a:pt x="0" y="0"/>
                                </a:moveTo>
                                <a:lnTo>
                                  <a:pt x="76009" y="0"/>
                                </a:lnTo>
                                <a:lnTo>
                                  <a:pt x="76009" y="95059"/>
                                </a:lnTo>
                                <a:lnTo>
                                  <a:pt x="0" y="95059"/>
                                </a:lnTo>
                                <a:lnTo>
                                  <a:pt x="0" y="0"/>
                                </a:lnTo>
                                <a:close/>
                              </a:path>
                            </a:pathLst>
                          </a:custGeom>
                          <a:ln w="8193">
                            <a:solidFill>
                              <a:srgbClr val="000000"/>
                            </a:solidFill>
                            <a:prstDash val="solid"/>
                          </a:ln>
                        </wps:spPr>
                        <wps:bodyPr wrap="square" lIns="0" tIns="0" rIns="0" bIns="0" rtlCol="0">
                          <a:prstTxWarp prst="textNoShape">
                            <a:avLst/>
                          </a:prstTxWarp>
                          <a:noAutofit/>
                        </wps:bodyPr>
                      </wps:wsp>
                      <wps:wsp>
                        <wps:cNvPr id="68" name="Graphic 68"/>
                        <wps:cNvSpPr/>
                        <wps:spPr>
                          <a:xfrm>
                            <a:off x="38671" y="277368"/>
                            <a:ext cx="76200" cy="95250"/>
                          </a:xfrm>
                          <a:custGeom>
                            <a:avLst/>
                            <a:gdLst/>
                            <a:ahLst/>
                            <a:cxnLst/>
                            <a:rect l="l" t="t" r="r" b="b"/>
                            <a:pathLst>
                              <a:path w="76200" h="95250">
                                <a:moveTo>
                                  <a:pt x="76009" y="0"/>
                                </a:moveTo>
                                <a:lnTo>
                                  <a:pt x="0" y="0"/>
                                </a:lnTo>
                                <a:lnTo>
                                  <a:pt x="0" y="95059"/>
                                </a:lnTo>
                                <a:lnTo>
                                  <a:pt x="76009" y="95059"/>
                                </a:lnTo>
                                <a:lnTo>
                                  <a:pt x="76009" y="0"/>
                                </a:lnTo>
                                <a:close/>
                              </a:path>
                            </a:pathLst>
                          </a:custGeom>
                          <a:solidFill>
                            <a:srgbClr val="339966"/>
                          </a:solidFill>
                        </wps:spPr>
                        <wps:bodyPr wrap="square" lIns="0" tIns="0" rIns="0" bIns="0" rtlCol="0">
                          <a:prstTxWarp prst="textNoShape">
                            <a:avLst/>
                          </a:prstTxWarp>
                          <a:noAutofit/>
                        </wps:bodyPr>
                      </wps:wsp>
                      <wps:wsp>
                        <wps:cNvPr id="69" name="Graphic 69"/>
                        <wps:cNvSpPr/>
                        <wps:spPr>
                          <a:xfrm>
                            <a:off x="38671" y="277368"/>
                            <a:ext cx="76200" cy="95250"/>
                          </a:xfrm>
                          <a:custGeom>
                            <a:avLst/>
                            <a:gdLst/>
                            <a:ahLst/>
                            <a:cxnLst/>
                            <a:rect l="l" t="t" r="r" b="b"/>
                            <a:pathLst>
                              <a:path w="76200" h="95250">
                                <a:moveTo>
                                  <a:pt x="0" y="0"/>
                                </a:moveTo>
                                <a:lnTo>
                                  <a:pt x="76009" y="0"/>
                                </a:lnTo>
                                <a:lnTo>
                                  <a:pt x="76009" y="95059"/>
                                </a:lnTo>
                                <a:lnTo>
                                  <a:pt x="0" y="95059"/>
                                </a:lnTo>
                                <a:lnTo>
                                  <a:pt x="0" y="0"/>
                                </a:lnTo>
                                <a:close/>
                              </a:path>
                            </a:pathLst>
                          </a:custGeom>
                          <a:ln w="8193">
                            <a:solidFill>
                              <a:srgbClr val="000000"/>
                            </a:solidFill>
                            <a:prstDash val="solid"/>
                          </a:ln>
                        </wps:spPr>
                        <wps:bodyPr wrap="square" lIns="0" tIns="0" rIns="0" bIns="0" rtlCol="0">
                          <a:prstTxWarp prst="textNoShape">
                            <a:avLst/>
                          </a:prstTxWarp>
                          <a:noAutofit/>
                        </wps:bodyPr>
                      </wps:wsp>
                      <wps:wsp>
                        <wps:cNvPr id="70" name="Textbox 70"/>
                        <wps:cNvSpPr txBox="1"/>
                        <wps:spPr>
                          <a:xfrm>
                            <a:off x="1523" y="1523"/>
                            <a:ext cx="848360" cy="421005"/>
                          </a:xfrm>
                          <a:prstGeom prst="rect">
                            <a:avLst/>
                          </a:prstGeom>
                          <a:ln w="3048">
                            <a:solidFill>
                              <a:srgbClr val="000000"/>
                            </a:solidFill>
                            <a:prstDash val="solid"/>
                          </a:ln>
                        </wps:spPr>
                        <wps:txbx>
                          <w:txbxContent>
                            <w:p>
                              <w:pPr>
                                <w:spacing w:before="41"/>
                                <w:ind w:left="220" w:right="0" w:firstLine="0"/>
                                <w:jc w:val="left"/>
                                <w:rPr>
                                  <w:b/>
                                  <w:sz w:val="23"/>
                                </w:rPr>
                              </w:pPr>
                              <w:r>
                                <w:rPr>
                                  <w:b/>
                                  <w:spacing w:val="-2"/>
                                  <w:w w:val="90"/>
                                  <w:sz w:val="23"/>
                                </w:rPr>
                                <w:t>control</w:t>
                              </w:r>
                            </w:p>
                            <w:p>
                              <w:pPr>
                                <w:spacing w:before="66"/>
                                <w:ind w:left="220" w:right="0" w:firstLine="0"/>
                                <w:jc w:val="left"/>
                                <w:rPr>
                                  <w:b/>
                                  <w:sz w:val="23"/>
                                </w:rPr>
                              </w:pPr>
                              <w:r>
                                <w:rPr>
                                  <w:b/>
                                  <w:spacing w:val="-2"/>
                                  <w:w w:val="85"/>
                                  <w:sz w:val="23"/>
                                </w:rPr>
                                <w:t>experimental</w:t>
                              </w:r>
                            </w:p>
                          </w:txbxContent>
                        </wps:txbx>
                        <wps:bodyPr wrap="square" lIns="0" tIns="0" rIns="0" bIns="0" rtlCol="0">
                          <a:noAutofit/>
                        </wps:bodyPr>
                      </wps:wsp>
                    </wpg:wgp>
                  </a:graphicData>
                </a:graphic>
              </wp:anchor>
            </w:drawing>
          </mc:Choice>
          <mc:Fallback>
            <w:pict>
              <v:group style="position:absolute;margin-left:372.720001pt;margin-top:1.54pt;width:67.05pt;height:33.4pt;mso-position-horizontal-relative:page;mso-position-vertical-relative:paragraph;z-index:15735808" id="docshapegroup56" coordorigin="7454,31" coordsize="1341,668">
                <v:rect style="position:absolute;left:7515;top:136;width:120;height:150" id="docshape57" filled="true" fillcolor="#ff6600" stroked="false">
                  <v:fill type="solid"/>
                </v:rect>
                <v:rect style="position:absolute;left:7515;top:136;width:120;height:150" id="docshape58" filled="false" stroked="true" strokeweight=".64513pt" strokecolor="#000000">
                  <v:stroke dashstyle="solid"/>
                </v:rect>
                <v:rect style="position:absolute;left:7515;top:467;width:120;height:150" id="docshape59" filled="true" fillcolor="#339966" stroked="false">
                  <v:fill type="solid"/>
                </v:rect>
                <v:rect style="position:absolute;left:7515;top:467;width:120;height:150" id="docshape60" filled="false" stroked="true" strokeweight=".64513pt" strokecolor="#000000">
                  <v:stroke dashstyle="solid"/>
                </v:rect>
                <v:shape style="position:absolute;left:7456;top:33;width:1336;height:663" type="#_x0000_t202" id="docshape61" filled="false" stroked="true" strokeweight=".24pt" strokecolor="#000000">
                  <v:textbox inset="0,0,0,0">
                    <w:txbxContent>
                      <w:p>
                        <w:pPr>
                          <w:spacing w:before="41"/>
                          <w:ind w:left="220" w:right="0" w:firstLine="0"/>
                          <w:jc w:val="left"/>
                          <w:rPr>
                            <w:b/>
                            <w:sz w:val="23"/>
                          </w:rPr>
                        </w:pPr>
                        <w:r>
                          <w:rPr>
                            <w:b/>
                            <w:spacing w:val="-2"/>
                            <w:w w:val="90"/>
                            <w:sz w:val="23"/>
                          </w:rPr>
                          <w:t>control</w:t>
                        </w:r>
                      </w:p>
                      <w:p>
                        <w:pPr>
                          <w:spacing w:before="66"/>
                          <w:ind w:left="220" w:right="0" w:firstLine="0"/>
                          <w:jc w:val="left"/>
                          <w:rPr>
                            <w:b/>
                            <w:sz w:val="23"/>
                          </w:rPr>
                        </w:pPr>
                        <w:r>
                          <w:rPr>
                            <w:b/>
                            <w:spacing w:val="-2"/>
                            <w:w w:val="85"/>
                            <w:sz w:val="23"/>
                          </w:rPr>
                          <w:t>experimental</w:t>
                        </w:r>
                      </w:p>
                    </w:txbxContent>
                  </v:textbox>
                  <v:stroke dashstyle="solid"/>
                  <w10:wrap type="none"/>
                </v:shape>
                <w10:wrap type="none"/>
              </v:group>
            </w:pict>
          </mc:Fallback>
        </mc:AlternateContent>
      </w:r>
      <w:r>
        <w:rPr>
          <w:b/>
          <w:spacing w:val="-5"/>
          <w:w w:val="90"/>
          <w:sz w:val="21"/>
        </w:rPr>
        <w:t>90</w:t>
      </w:r>
    </w:p>
    <w:p>
      <w:pPr>
        <w:pStyle w:val="BodyText"/>
        <w:spacing w:before="184"/>
        <w:rPr>
          <w:b/>
          <w:sz w:val="21"/>
        </w:rPr>
      </w:pPr>
    </w:p>
    <w:p>
      <w:pPr>
        <w:spacing w:before="0"/>
        <w:ind w:left="1174" w:right="0" w:firstLine="0"/>
        <w:jc w:val="left"/>
        <w:rPr>
          <w:b/>
          <w:sz w:val="21"/>
        </w:rPr>
      </w:pPr>
      <w:r>
        <w:rPr>
          <w:b/>
          <w:spacing w:val="-5"/>
          <w:w w:val="90"/>
          <w:sz w:val="21"/>
        </w:rPr>
        <w:t>80</w:t>
      </w:r>
    </w:p>
    <w:p>
      <w:pPr>
        <w:pStyle w:val="BodyText"/>
        <w:spacing w:before="189"/>
        <w:rPr>
          <w:b/>
          <w:sz w:val="21"/>
        </w:rPr>
      </w:pPr>
    </w:p>
    <w:p>
      <w:pPr>
        <w:spacing w:before="0"/>
        <w:ind w:left="1174" w:right="0" w:firstLine="0"/>
        <w:jc w:val="left"/>
        <w:rPr>
          <w:b/>
          <w:sz w:val="21"/>
        </w:rPr>
      </w:pPr>
      <w:r>
        <w:rPr>
          <w:b/>
          <w:spacing w:val="-5"/>
          <w:w w:val="90"/>
          <w:sz w:val="21"/>
        </w:rPr>
        <w:t>70</w:t>
      </w:r>
    </w:p>
    <w:p>
      <w:pPr>
        <w:pStyle w:val="BodyText"/>
        <w:spacing w:before="184"/>
        <w:rPr>
          <w:b/>
          <w:sz w:val="21"/>
        </w:rPr>
      </w:pPr>
    </w:p>
    <w:p>
      <w:pPr>
        <w:spacing w:before="1"/>
        <w:ind w:left="1174" w:right="0" w:firstLine="0"/>
        <w:jc w:val="left"/>
        <w:rPr>
          <w:b/>
          <w:sz w:val="21"/>
        </w:rPr>
      </w:pPr>
      <w:r>
        <w:rPr/>
        <mc:AlternateContent>
          <mc:Choice Requires="wps">
            <w:drawing>
              <wp:anchor distT="0" distB="0" distL="0" distR="0" allowOverlap="1" layoutInCell="1" locked="0" behindDoc="0" simplePos="0" relativeHeight="15736320">
                <wp:simplePos x="0" y="0"/>
                <wp:positionH relativeFrom="page">
                  <wp:posOffset>1640435</wp:posOffset>
                </wp:positionH>
                <wp:positionV relativeFrom="paragraph">
                  <wp:posOffset>-177166</wp:posOffset>
                </wp:positionV>
                <wp:extent cx="194945" cy="1802764"/>
                <wp:effectExtent l="0" t="0" r="0" b="0"/>
                <wp:wrapNone/>
                <wp:docPr id="71" name="Textbox 71"/>
                <wp:cNvGraphicFramePr>
                  <a:graphicFrameLocks/>
                </wp:cNvGraphicFramePr>
                <a:graphic>
                  <a:graphicData uri="http://schemas.microsoft.com/office/word/2010/wordprocessingShape">
                    <wps:wsp>
                      <wps:cNvPr id="71" name="Textbox 71"/>
                      <wps:cNvSpPr txBox="1"/>
                      <wps:spPr>
                        <a:xfrm>
                          <a:off x="0" y="0"/>
                          <a:ext cx="194945" cy="1802764"/>
                        </a:xfrm>
                        <a:prstGeom prst="rect">
                          <a:avLst/>
                        </a:prstGeom>
                      </wps:spPr>
                      <wps:txbx>
                        <w:txbxContent>
                          <w:p>
                            <w:pPr>
                              <w:spacing w:before="10"/>
                              <w:ind w:left="20" w:right="0" w:firstLine="0"/>
                              <w:jc w:val="left"/>
                              <w:rPr>
                                <w:b/>
                                <w:sz w:val="24"/>
                              </w:rPr>
                            </w:pPr>
                            <w:r>
                              <w:rPr>
                                <w:b/>
                                <w:w w:val="80"/>
                                <w:sz w:val="24"/>
                              </w:rPr>
                              <w:t>T</w:t>
                            </w:r>
                            <w:r>
                              <w:rPr>
                                <w:b/>
                                <w:spacing w:val="-14"/>
                                <w:w w:val="80"/>
                                <w:sz w:val="24"/>
                              </w:rPr>
                              <w:t> </w:t>
                            </w:r>
                            <w:r>
                              <w:rPr>
                                <w:b/>
                                <w:spacing w:val="10"/>
                                <w:w w:val="80"/>
                                <w:sz w:val="24"/>
                              </w:rPr>
                              <w:t>ra</w:t>
                            </w:r>
                            <w:r>
                              <w:rPr>
                                <w:b/>
                                <w:spacing w:val="-25"/>
                                <w:w w:val="80"/>
                                <w:sz w:val="24"/>
                              </w:rPr>
                              <w:t> </w:t>
                            </w:r>
                            <w:r>
                              <w:rPr>
                                <w:b/>
                                <w:w w:val="80"/>
                                <w:sz w:val="24"/>
                              </w:rPr>
                              <w:t>n</w:t>
                            </w:r>
                            <w:r>
                              <w:rPr>
                                <w:b/>
                                <w:spacing w:val="-21"/>
                                <w:w w:val="80"/>
                                <w:sz w:val="24"/>
                              </w:rPr>
                              <w:t> </w:t>
                            </w:r>
                            <w:r>
                              <w:rPr>
                                <w:b/>
                                <w:spacing w:val="11"/>
                                <w:w w:val="80"/>
                                <w:sz w:val="24"/>
                              </w:rPr>
                              <w:t>sfe</w:t>
                            </w:r>
                            <w:r>
                              <w:rPr>
                                <w:b/>
                                <w:spacing w:val="-23"/>
                                <w:w w:val="80"/>
                                <w:sz w:val="24"/>
                              </w:rPr>
                              <w:t> </w:t>
                            </w:r>
                            <w:r>
                              <w:rPr>
                                <w:b/>
                                <w:w w:val="80"/>
                                <w:sz w:val="24"/>
                              </w:rPr>
                              <w:t>r</w:t>
                            </w:r>
                            <w:r>
                              <w:rPr>
                                <w:b/>
                                <w:spacing w:val="22"/>
                                <w:sz w:val="24"/>
                              </w:rPr>
                              <w:t> </w:t>
                            </w:r>
                            <w:r>
                              <w:rPr>
                                <w:b/>
                                <w:w w:val="80"/>
                                <w:sz w:val="24"/>
                              </w:rPr>
                              <w:t>L</w:t>
                            </w:r>
                            <w:r>
                              <w:rPr>
                                <w:b/>
                                <w:spacing w:val="-18"/>
                                <w:w w:val="80"/>
                                <w:sz w:val="24"/>
                              </w:rPr>
                              <w:t> </w:t>
                            </w:r>
                            <w:r>
                              <w:rPr>
                                <w:b/>
                                <w:w w:val="80"/>
                                <w:sz w:val="24"/>
                              </w:rPr>
                              <w:t>a</w:t>
                            </w:r>
                            <w:r>
                              <w:rPr>
                                <w:b/>
                                <w:spacing w:val="-25"/>
                                <w:w w:val="80"/>
                                <w:sz w:val="24"/>
                              </w:rPr>
                              <w:t> </w:t>
                            </w:r>
                            <w:r>
                              <w:rPr>
                                <w:b/>
                                <w:spacing w:val="12"/>
                                <w:w w:val="80"/>
                                <w:sz w:val="24"/>
                              </w:rPr>
                              <w:t>ten</w:t>
                            </w:r>
                            <w:r>
                              <w:rPr>
                                <w:b/>
                                <w:spacing w:val="-21"/>
                                <w:w w:val="80"/>
                                <w:sz w:val="24"/>
                              </w:rPr>
                              <w:t> </w:t>
                            </w:r>
                            <w:r>
                              <w:rPr>
                                <w:b/>
                                <w:spacing w:val="10"/>
                                <w:w w:val="80"/>
                                <w:sz w:val="24"/>
                              </w:rPr>
                              <w:t>cy</w:t>
                            </w:r>
                            <w:r>
                              <w:rPr>
                                <w:b/>
                                <w:spacing w:val="26"/>
                                <w:sz w:val="24"/>
                              </w:rPr>
                              <w:t> </w:t>
                            </w:r>
                            <w:r>
                              <w:rPr>
                                <w:b/>
                                <w:spacing w:val="11"/>
                                <w:w w:val="80"/>
                                <w:sz w:val="24"/>
                              </w:rPr>
                              <w:t>(se</w:t>
                            </w:r>
                            <w:r>
                              <w:rPr>
                                <w:b/>
                                <w:spacing w:val="-23"/>
                                <w:w w:val="80"/>
                                <w:sz w:val="24"/>
                              </w:rPr>
                              <w:t> </w:t>
                            </w:r>
                            <w:r>
                              <w:rPr>
                                <w:b/>
                                <w:spacing w:val="10"/>
                                <w:w w:val="80"/>
                                <w:sz w:val="24"/>
                              </w:rPr>
                              <w:t>co</w:t>
                            </w:r>
                            <w:r>
                              <w:rPr>
                                <w:b/>
                                <w:spacing w:val="-25"/>
                                <w:w w:val="80"/>
                                <w:sz w:val="24"/>
                              </w:rPr>
                              <w:t> </w:t>
                            </w:r>
                            <w:r>
                              <w:rPr>
                                <w:b/>
                                <w:w w:val="80"/>
                                <w:sz w:val="24"/>
                              </w:rPr>
                              <w:t>n</w:t>
                            </w:r>
                            <w:r>
                              <w:rPr>
                                <w:b/>
                                <w:spacing w:val="-21"/>
                                <w:w w:val="80"/>
                                <w:sz w:val="24"/>
                              </w:rPr>
                              <w:t> </w:t>
                            </w:r>
                            <w:r>
                              <w:rPr>
                                <w:b/>
                                <w:w w:val="80"/>
                                <w:sz w:val="24"/>
                              </w:rPr>
                              <w:t>d</w:t>
                            </w:r>
                            <w:r>
                              <w:rPr>
                                <w:b/>
                                <w:spacing w:val="-20"/>
                                <w:w w:val="80"/>
                                <w:sz w:val="24"/>
                              </w:rPr>
                              <w:t> </w:t>
                            </w:r>
                            <w:r>
                              <w:rPr>
                                <w:b/>
                                <w:spacing w:val="5"/>
                                <w:w w:val="80"/>
                                <w:sz w:val="24"/>
                              </w:rPr>
                              <w:t>s)</w:t>
                            </w:r>
                          </w:p>
                        </w:txbxContent>
                      </wps:txbx>
                      <wps:bodyPr wrap="square" lIns="0" tIns="0" rIns="0" bIns="0" rtlCol="0" vert="vert270">
                        <a:noAutofit/>
                      </wps:bodyPr>
                    </wps:wsp>
                  </a:graphicData>
                </a:graphic>
              </wp:anchor>
            </w:drawing>
          </mc:Choice>
          <mc:Fallback>
            <w:pict>
              <v:shape style="position:absolute;margin-left:129.168121pt;margin-top:-13.950138pt;width:15.35pt;height:141.950pt;mso-position-horizontal-relative:page;mso-position-vertical-relative:paragraph;z-index:15736320" type="#_x0000_t202" id="docshape62" filled="false" stroked="false">
                <v:textbox inset="0,0,0,0" style="layout-flow:vertical;mso-layout-flow-alt:bottom-to-top">
                  <w:txbxContent>
                    <w:p>
                      <w:pPr>
                        <w:spacing w:before="10"/>
                        <w:ind w:left="20" w:right="0" w:firstLine="0"/>
                        <w:jc w:val="left"/>
                        <w:rPr>
                          <w:b/>
                          <w:sz w:val="24"/>
                        </w:rPr>
                      </w:pPr>
                      <w:r>
                        <w:rPr>
                          <w:b/>
                          <w:w w:val="80"/>
                          <w:sz w:val="24"/>
                        </w:rPr>
                        <w:t>T</w:t>
                      </w:r>
                      <w:r>
                        <w:rPr>
                          <w:b/>
                          <w:spacing w:val="-14"/>
                          <w:w w:val="80"/>
                          <w:sz w:val="24"/>
                        </w:rPr>
                        <w:t> </w:t>
                      </w:r>
                      <w:r>
                        <w:rPr>
                          <w:b/>
                          <w:spacing w:val="10"/>
                          <w:w w:val="80"/>
                          <w:sz w:val="24"/>
                        </w:rPr>
                        <w:t>ra</w:t>
                      </w:r>
                      <w:r>
                        <w:rPr>
                          <w:b/>
                          <w:spacing w:val="-25"/>
                          <w:w w:val="80"/>
                          <w:sz w:val="24"/>
                        </w:rPr>
                        <w:t> </w:t>
                      </w:r>
                      <w:r>
                        <w:rPr>
                          <w:b/>
                          <w:w w:val="80"/>
                          <w:sz w:val="24"/>
                        </w:rPr>
                        <w:t>n</w:t>
                      </w:r>
                      <w:r>
                        <w:rPr>
                          <w:b/>
                          <w:spacing w:val="-21"/>
                          <w:w w:val="80"/>
                          <w:sz w:val="24"/>
                        </w:rPr>
                        <w:t> </w:t>
                      </w:r>
                      <w:r>
                        <w:rPr>
                          <w:b/>
                          <w:spacing w:val="11"/>
                          <w:w w:val="80"/>
                          <w:sz w:val="24"/>
                        </w:rPr>
                        <w:t>sfe</w:t>
                      </w:r>
                      <w:r>
                        <w:rPr>
                          <w:b/>
                          <w:spacing w:val="-23"/>
                          <w:w w:val="80"/>
                          <w:sz w:val="24"/>
                        </w:rPr>
                        <w:t> </w:t>
                      </w:r>
                      <w:r>
                        <w:rPr>
                          <w:b/>
                          <w:w w:val="80"/>
                          <w:sz w:val="24"/>
                        </w:rPr>
                        <w:t>r</w:t>
                      </w:r>
                      <w:r>
                        <w:rPr>
                          <w:b/>
                          <w:spacing w:val="22"/>
                          <w:sz w:val="24"/>
                        </w:rPr>
                        <w:t> </w:t>
                      </w:r>
                      <w:r>
                        <w:rPr>
                          <w:b/>
                          <w:w w:val="80"/>
                          <w:sz w:val="24"/>
                        </w:rPr>
                        <w:t>L</w:t>
                      </w:r>
                      <w:r>
                        <w:rPr>
                          <w:b/>
                          <w:spacing w:val="-18"/>
                          <w:w w:val="80"/>
                          <w:sz w:val="24"/>
                        </w:rPr>
                        <w:t> </w:t>
                      </w:r>
                      <w:r>
                        <w:rPr>
                          <w:b/>
                          <w:w w:val="80"/>
                          <w:sz w:val="24"/>
                        </w:rPr>
                        <w:t>a</w:t>
                      </w:r>
                      <w:r>
                        <w:rPr>
                          <w:b/>
                          <w:spacing w:val="-25"/>
                          <w:w w:val="80"/>
                          <w:sz w:val="24"/>
                        </w:rPr>
                        <w:t> </w:t>
                      </w:r>
                      <w:r>
                        <w:rPr>
                          <w:b/>
                          <w:spacing w:val="12"/>
                          <w:w w:val="80"/>
                          <w:sz w:val="24"/>
                        </w:rPr>
                        <w:t>ten</w:t>
                      </w:r>
                      <w:r>
                        <w:rPr>
                          <w:b/>
                          <w:spacing w:val="-21"/>
                          <w:w w:val="80"/>
                          <w:sz w:val="24"/>
                        </w:rPr>
                        <w:t> </w:t>
                      </w:r>
                      <w:r>
                        <w:rPr>
                          <w:b/>
                          <w:spacing w:val="10"/>
                          <w:w w:val="80"/>
                          <w:sz w:val="24"/>
                        </w:rPr>
                        <w:t>cy</w:t>
                      </w:r>
                      <w:r>
                        <w:rPr>
                          <w:b/>
                          <w:spacing w:val="26"/>
                          <w:sz w:val="24"/>
                        </w:rPr>
                        <w:t> </w:t>
                      </w:r>
                      <w:r>
                        <w:rPr>
                          <w:b/>
                          <w:spacing w:val="11"/>
                          <w:w w:val="80"/>
                          <w:sz w:val="24"/>
                        </w:rPr>
                        <w:t>(se</w:t>
                      </w:r>
                      <w:r>
                        <w:rPr>
                          <w:b/>
                          <w:spacing w:val="-23"/>
                          <w:w w:val="80"/>
                          <w:sz w:val="24"/>
                        </w:rPr>
                        <w:t> </w:t>
                      </w:r>
                      <w:r>
                        <w:rPr>
                          <w:b/>
                          <w:spacing w:val="10"/>
                          <w:w w:val="80"/>
                          <w:sz w:val="24"/>
                        </w:rPr>
                        <w:t>co</w:t>
                      </w:r>
                      <w:r>
                        <w:rPr>
                          <w:b/>
                          <w:spacing w:val="-25"/>
                          <w:w w:val="80"/>
                          <w:sz w:val="24"/>
                        </w:rPr>
                        <w:t> </w:t>
                      </w:r>
                      <w:r>
                        <w:rPr>
                          <w:b/>
                          <w:w w:val="80"/>
                          <w:sz w:val="24"/>
                        </w:rPr>
                        <w:t>n</w:t>
                      </w:r>
                      <w:r>
                        <w:rPr>
                          <w:b/>
                          <w:spacing w:val="-21"/>
                          <w:w w:val="80"/>
                          <w:sz w:val="24"/>
                        </w:rPr>
                        <w:t> </w:t>
                      </w:r>
                      <w:r>
                        <w:rPr>
                          <w:b/>
                          <w:w w:val="80"/>
                          <w:sz w:val="24"/>
                        </w:rPr>
                        <w:t>d</w:t>
                      </w:r>
                      <w:r>
                        <w:rPr>
                          <w:b/>
                          <w:spacing w:val="-20"/>
                          <w:w w:val="80"/>
                          <w:sz w:val="24"/>
                        </w:rPr>
                        <w:t> </w:t>
                      </w:r>
                      <w:r>
                        <w:rPr>
                          <w:b/>
                          <w:spacing w:val="5"/>
                          <w:w w:val="80"/>
                          <w:sz w:val="24"/>
                        </w:rPr>
                        <w:t>s)</w:t>
                      </w:r>
                    </w:p>
                  </w:txbxContent>
                </v:textbox>
                <w10:wrap type="none"/>
              </v:shape>
            </w:pict>
          </mc:Fallback>
        </mc:AlternateContent>
      </w:r>
      <w:r>
        <w:rPr>
          <w:b/>
          <w:spacing w:val="-5"/>
          <w:w w:val="90"/>
          <w:sz w:val="21"/>
        </w:rPr>
        <w:t>60</w:t>
      </w:r>
    </w:p>
    <w:p>
      <w:pPr>
        <w:pStyle w:val="BodyText"/>
        <w:spacing w:before="188"/>
        <w:rPr>
          <w:b/>
          <w:sz w:val="21"/>
        </w:rPr>
      </w:pPr>
    </w:p>
    <w:p>
      <w:pPr>
        <w:spacing w:before="1"/>
        <w:ind w:left="1174" w:right="0" w:firstLine="0"/>
        <w:jc w:val="left"/>
        <w:rPr>
          <w:b/>
          <w:sz w:val="21"/>
        </w:rPr>
      </w:pPr>
      <w:r>
        <w:rPr>
          <w:b/>
          <w:spacing w:val="-5"/>
          <w:w w:val="90"/>
          <w:sz w:val="21"/>
        </w:rPr>
        <w:t>50</w:t>
      </w:r>
    </w:p>
    <w:p>
      <w:pPr>
        <w:pStyle w:val="BodyText"/>
        <w:spacing w:before="188"/>
        <w:rPr>
          <w:b/>
          <w:sz w:val="21"/>
        </w:rPr>
      </w:pPr>
    </w:p>
    <w:p>
      <w:pPr>
        <w:spacing w:before="1"/>
        <w:ind w:left="1174" w:right="0" w:firstLine="0"/>
        <w:jc w:val="left"/>
        <w:rPr>
          <w:b/>
          <w:sz w:val="21"/>
        </w:rPr>
      </w:pPr>
      <w:r>
        <w:rPr>
          <w:b/>
          <w:spacing w:val="-5"/>
          <w:w w:val="90"/>
          <w:sz w:val="21"/>
        </w:rPr>
        <w:t>40</w:t>
      </w:r>
    </w:p>
    <w:p>
      <w:pPr>
        <w:pStyle w:val="BodyText"/>
        <w:spacing w:before="184"/>
        <w:rPr>
          <w:b/>
          <w:sz w:val="21"/>
        </w:rPr>
      </w:pPr>
    </w:p>
    <w:p>
      <w:pPr>
        <w:spacing w:before="0"/>
        <w:ind w:left="1174" w:right="0" w:firstLine="0"/>
        <w:jc w:val="left"/>
        <w:rPr>
          <w:b/>
          <w:sz w:val="21"/>
        </w:rPr>
      </w:pPr>
      <w:r>
        <w:rPr>
          <w:b/>
          <w:spacing w:val="-5"/>
          <w:w w:val="90"/>
          <w:sz w:val="21"/>
        </w:rPr>
        <w:t>30</w:t>
      </w:r>
    </w:p>
    <w:p>
      <w:pPr>
        <w:pStyle w:val="BodyText"/>
        <w:spacing w:before="189"/>
        <w:rPr>
          <w:b/>
          <w:sz w:val="21"/>
        </w:rPr>
      </w:pPr>
    </w:p>
    <w:p>
      <w:pPr>
        <w:spacing w:before="0"/>
        <w:ind w:left="1174" w:right="0" w:firstLine="0"/>
        <w:jc w:val="left"/>
        <w:rPr>
          <w:b/>
          <w:sz w:val="21"/>
        </w:rPr>
      </w:pPr>
      <w:r>
        <w:rPr>
          <w:b/>
          <w:spacing w:val="-5"/>
          <w:w w:val="90"/>
          <w:sz w:val="21"/>
        </w:rPr>
        <w:t>20</w:t>
      </w:r>
    </w:p>
    <w:p>
      <w:pPr>
        <w:pStyle w:val="BodyText"/>
        <w:spacing w:before="184"/>
        <w:rPr>
          <w:b/>
          <w:sz w:val="21"/>
        </w:rPr>
      </w:pPr>
    </w:p>
    <w:p>
      <w:pPr>
        <w:spacing w:before="0"/>
        <w:ind w:left="1174" w:right="0" w:firstLine="0"/>
        <w:jc w:val="left"/>
        <w:rPr>
          <w:b/>
          <w:sz w:val="21"/>
        </w:rPr>
      </w:pPr>
      <w:r>
        <w:rPr>
          <w:b/>
          <w:spacing w:val="-5"/>
          <w:w w:val="90"/>
          <w:sz w:val="21"/>
        </w:rPr>
        <w:t>10</w:t>
      </w:r>
    </w:p>
    <w:p>
      <w:pPr>
        <w:pStyle w:val="BodyText"/>
        <w:spacing w:before="189"/>
        <w:rPr>
          <w:b/>
          <w:sz w:val="21"/>
        </w:rPr>
      </w:pPr>
    </w:p>
    <w:p>
      <w:pPr>
        <w:spacing w:before="0"/>
        <w:ind w:left="1260" w:right="0" w:firstLine="0"/>
        <w:jc w:val="left"/>
        <w:rPr>
          <w:b/>
          <w:sz w:val="21"/>
        </w:rPr>
      </w:pPr>
      <w:r>
        <w:rPr>
          <w:b/>
          <w:spacing w:val="-10"/>
          <w:w w:val="90"/>
          <w:sz w:val="21"/>
        </w:rPr>
        <w:t>0</w:t>
      </w:r>
    </w:p>
    <w:p>
      <w:pPr>
        <w:tabs>
          <w:tab w:pos="4851" w:val="left" w:leader="none"/>
          <w:tab w:pos="7236" w:val="left" w:leader="none"/>
        </w:tabs>
        <w:spacing w:before="71"/>
        <w:ind w:left="2297" w:right="0" w:firstLine="0"/>
        <w:jc w:val="left"/>
        <w:rPr>
          <w:b/>
          <w:sz w:val="21"/>
        </w:rPr>
      </w:pPr>
      <w:r>
        <w:rPr>
          <w:b/>
          <w:w w:val="80"/>
          <w:sz w:val="21"/>
        </w:rPr>
        <w:t>30</w:t>
      </w:r>
      <w:r>
        <w:rPr>
          <w:b/>
          <w:spacing w:val="-2"/>
          <w:w w:val="80"/>
          <w:sz w:val="21"/>
        </w:rPr>
        <w:t> </w:t>
      </w:r>
      <w:r>
        <w:rPr>
          <w:b/>
          <w:spacing w:val="-2"/>
          <w:w w:val="90"/>
          <w:sz w:val="21"/>
        </w:rPr>
        <w:t>minutes</w:t>
      </w:r>
      <w:r>
        <w:rPr>
          <w:b/>
          <w:sz w:val="21"/>
        </w:rPr>
        <w:tab/>
      </w:r>
      <w:r>
        <w:rPr>
          <w:b/>
          <w:w w:val="80"/>
          <w:sz w:val="21"/>
        </w:rPr>
        <w:t>1</w:t>
      </w:r>
      <w:r>
        <w:rPr>
          <w:b/>
          <w:spacing w:val="-3"/>
          <w:w w:val="80"/>
          <w:sz w:val="21"/>
        </w:rPr>
        <w:t> </w:t>
      </w:r>
      <w:r>
        <w:rPr>
          <w:b/>
          <w:spacing w:val="-4"/>
          <w:w w:val="90"/>
          <w:sz w:val="21"/>
        </w:rPr>
        <w:t>Hour</w:t>
      </w:r>
      <w:r>
        <w:rPr>
          <w:b/>
          <w:sz w:val="21"/>
        </w:rPr>
        <w:tab/>
      </w:r>
      <w:r>
        <w:rPr>
          <w:b/>
          <w:w w:val="80"/>
          <w:sz w:val="21"/>
        </w:rPr>
        <w:t>2</w:t>
      </w:r>
      <w:r>
        <w:rPr>
          <w:b/>
          <w:spacing w:val="-3"/>
          <w:w w:val="80"/>
          <w:sz w:val="21"/>
        </w:rPr>
        <w:t> </w:t>
      </w:r>
      <w:r>
        <w:rPr>
          <w:b/>
          <w:spacing w:val="-2"/>
          <w:w w:val="90"/>
          <w:sz w:val="21"/>
        </w:rPr>
        <w:t>Hours</w:t>
      </w:r>
    </w:p>
    <w:p>
      <w:pPr>
        <w:pStyle w:val="BodyText"/>
        <w:rPr>
          <w:b/>
        </w:rPr>
      </w:pPr>
    </w:p>
    <w:p>
      <w:pPr>
        <w:pStyle w:val="BodyText"/>
        <w:spacing w:before="1"/>
        <w:rPr>
          <w:b/>
        </w:rPr>
      </w:pPr>
    </w:p>
    <w:p>
      <w:pPr>
        <w:pStyle w:val="Heading3"/>
        <w:spacing w:line="491" w:lineRule="auto"/>
      </w:pPr>
      <w:r>
        <w:rPr/>
        <w:t>Figure</w:t>
      </w:r>
      <w:r>
        <w:rPr>
          <w:spacing w:val="40"/>
        </w:rPr>
        <w:t> </w:t>
      </w:r>
      <w:r>
        <w:rPr/>
        <w:t>4.2:</w:t>
      </w:r>
      <w:r>
        <w:rPr>
          <w:spacing w:val="40"/>
        </w:rPr>
        <w:t> </w:t>
      </w:r>
      <w:r>
        <w:rPr/>
        <w:t>Transfer</w:t>
      </w:r>
      <w:r>
        <w:rPr>
          <w:spacing w:val="34"/>
        </w:rPr>
        <w:t> </w:t>
      </w:r>
      <w:r>
        <w:rPr/>
        <w:t>latencies</w:t>
      </w:r>
      <w:r>
        <w:rPr>
          <w:spacing w:val="38"/>
        </w:rPr>
        <w:t> </w:t>
      </w:r>
      <w:r>
        <w:rPr/>
        <w:t>of</w:t>
      </w:r>
      <w:r>
        <w:rPr>
          <w:spacing w:val="40"/>
        </w:rPr>
        <w:t> </w:t>
      </w:r>
      <w:r>
        <w:rPr/>
        <w:t>the</w:t>
      </w:r>
      <w:r>
        <w:rPr>
          <w:spacing w:val="40"/>
        </w:rPr>
        <w:t> </w:t>
      </w:r>
      <w:r>
        <w:rPr/>
        <w:t>control</w:t>
      </w:r>
      <w:r>
        <w:rPr>
          <w:spacing w:val="33"/>
        </w:rPr>
        <w:t> </w:t>
      </w:r>
      <w:r>
        <w:rPr/>
        <w:t>and</w:t>
      </w:r>
      <w:r>
        <w:rPr>
          <w:spacing w:val="39"/>
        </w:rPr>
        <w:t> </w:t>
      </w:r>
      <w:r>
        <w:rPr/>
        <w:t>experimental</w:t>
      </w:r>
      <w:r>
        <w:rPr>
          <w:spacing w:val="39"/>
        </w:rPr>
        <w:t> </w:t>
      </w:r>
      <w:r>
        <w:rPr/>
        <w:t>groups</w:t>
      </w:r>
      <w:r>
        <w:rPr>
          <w:spacing w:val="38"/>
        </w:rPr>
        <w:t> </w:t>
      </w:r>
      <w:r>
        <w:rPr/>
        <w:t>during</w:t>
      </w:r>
      <w:r>
        <w:rPr>
          <w:spacing w:val="40"/>
        </w:rPr>
        <w:t> </w:t>
      </w:r>
      <w:r>
        <w:rPr/>
        <w:t>the recall/memory task (Day-2).</w:t>
      </w:r>
    </w:p>
    <w:p>
      <w:pPr>
        <w:pStyle w:val="BodyText"/>
        <w:spacing w:line="491" w:lineRule="auto"/>
        <w:ind w:left="665" w:right="819"/>
      </w:pPr>
      <w:r>
        <w:rPr>
          <w:vertAlign w:val="superscript"/>
        </w:rPr>
        <w:t>a,</w:t>
      </w:r>
      <w:r>
        <w:rPr>
          <w:spacing w:val="18"/>
          <w:vertAlign w:val="baseline"/>
        </w:rPr>
        <w:t> </w:t>
      </w:r>
      <w:r>
        <w:rPr>
          <w:vertAlign w:val="superscript"/>
        </w:rPr>
        <w:t>b</w:t>
      </w:r>
      <w:r>
        <w:rPr>
          <w:spacing w:val="35"/>
          <w:vertAlign w:val="baseline"/>
        </w:rPr>
        <w:t> </w:t>
      </w:r>
      <w:r>
        <w:rPr>
          <w:vertAlign w:val="baseline"/>
        </w:rPr>
        <w:t>=</w:t>
      </w:r>
      <w:r>
        <w:rPr>
          <w:spacing w:val="40"/>
          <w:vertAlign w:val="baseline"/>
        </w:rPr>
        <w:t> </w:t>
      </w:r>
      <w:r>
        <w:rPr>
          <w:vertAlign w:val="baseline"/>
        </w:rPr>
        <w:t>values</w:t>
      </w:r>
      <w:r>
        <w:rPr>
          <w:spacing w:val="36"/>
          <w:vertAlign w:val="baseline"/>
        </w:rPr>
        <w:t> </w:t>
      </w:r>
      <w:r>
        <w:rPr>
          <w:vertAlign w:val="baseline"/>
        </w:rPr>
        <w:t>with</w:t>
      </w:r>
      <w:r>
        <w:rPr>
          <w:spacing w:val="35"/>
          <w:vertAlign w:val="baseline"/>
        </w:rPr>
        <w:t> </w:t>
      </w:r>
      <w:r>
        <w:rPr>
          <w:vertAlign w:val="baseline"/>
        </w:rPr>
        <w:t>different</w:t>
      </w:r>
      <w:r>
        <w:rPr>
          <w:spacing w:val="38"/>
          <w:vertAlign w:val="baseline"/>
        </w:rPr>
        <w:t> </w:t>
      </w:r>
      <w:r>
        <w:rPr>
          <w:vertAlign w:val="baseline"/>
        </w:rPr>
        <w:t>superscript</w:t>
      </w:r>
      <w:r>
        <w:rPr>
          <w:spacing w:val="39"/>
          <w:vertAlign w:val="baseline"/>
        </w:rPr>
        <w:t> </w:t>
      </w:r>
      <w:r>
        <w:rPr>
          <w:vertAlign w:val="baseline"/>
        </w:rPr>
        <w:t>letters</w:t>
      </w:r>
      <w:r>
        <w:rPr>
          <w:spacing w:val="36"/>
          <w:vertAlign w:val="baseline"/>
        </w:rPr>
        <w:t> </w:t>
      </w:r>
      <w:r>
        <w:rPr>
          <w:vertAlign w:val="baseline"/>
        </w:rPr>
        <w:t>indicate</w:t>
      </w:r>
      <w:r>
        <w:rPr>
          <w:spacing w:val="38"/>
          <w:vertAlign w:val="baseline"/>
        </w:rPr>
        <w:t> </w:t>
      </w:r>
      <w:r>
        <w:rPr>
          <w:vertAlign w:val="baseline"/>
        </w:rPr>
        <w:t>significance</w:t>
      </w:r>
      <w:r>
        <w:rPr>
          <w:spacing w:val="33"/>
          <w:vertAlign w:val="baseline"/>
        </w:rPr>
        <w:t> </w:t>
      </w:r>
      <w:r>
        <w:rPr>
          <w:vertAlign w:val="baseline"/>
        </w:rPr>
        <w:t>at</w:t>
      </w:r>
      <w:r>
        <w:rPr>
          <w:spacing w:val="38"/>
          <w:vertAlign w:val="baseline"/>
        </w:rPr>
        <w:t> </w:t>
      </w:r>
      <w:r>
        <w:rPr>
          <w:vertAlign w:val="baseline"/>
        </w:rPr>
        <w:t>P</w:t>
      </w:r>
      <w:r>
        <w:rPr>
          <w:spacing w:val="32"/>
          <w:vertAlign w:val="baseline"/>
        </w:rPr>
        <w:t> </w:t>
      </w:r>
      <w:r>
        <w:rPr>
          <w:vertAlign w:val="baseline"/>
        </w:rPr>
        <w:t>&lt;</w:t>
      </w:r>
      <w:r>
        <w:rPr>
          <w:spacing w:val="40"/>
          <w:vertAlign w:val="baseline"/>
        </w:rPr>
        <w:t> </w:t>
      </w:r>
      <w:r>
        <w:rPr>
          <w:vertAlign w:val="baseline"/>
        </w:rPr>
        <w:t>0.05</w:t>
      </w:r>
      <w:r>
        <w:rPr>
          <w:spacing w:val="40"/>
          <w:vertAlign w:val="baseline"/>
        </w:rPr>
        <w:t> </w:t>
      </w:r>
      <w:r>
        <w:rPr>
          <w:vertAlign w:val="baseline"/>
        </w:rPr>
        <w:t>and</w:t>
      </w:r>
      <w:r>
        <w:rPr>
          <w:spacing w:val="40"/>
          <w:vertAlign w:val="baseline"/>
        </w:rPr>
        <w:t> </w:t>
      </w:r>
      <w:r>
        <w:rPr>
          <w:vertAlign w:val="baseline"/>
        </w:rPr>
        <w:t>its absence imply insignificance. n = 5</w:t>
      </w:r>
    </w:p>
    <w:p>
      <w:pPr>
        <w:spacing w:after="0" w:line="491" w:lineRule="auto"/>
        <w:sectPr>
          <w:pgSz w:w="12240" w:h="15840"/>
          <w:pgMar w:header="0" w:footer="916" w:top="1360" w:bottom="1100" w:left="1720" w:right="960"/>
        </w:sectPr>
      </w:pPr>
    </w:p>
    <w:p>
      <w:pPr>
        <w:pStyle w:val="Heading3"/>
        <w:numPr>
          <w:ilvl w:val="2"/>
          <w:numId w:val="24"/>
        </w:numPr>
        <w:tabs>
          <w:tab w:pos="1171" w:val="left" w:leader="none"/>
        </w:tabs>
        <w:spacing w:line="240" w:lineRule="auto" w:before="80" w:after="0"/>
        <w:ind w:left="1171" w:right="0" w:hanging="506"/>
        <w:jc w:val="left"/>
      </w:pPr>
      <w:bookmarkStart w:name="_TOC_250017" w:id="40"/>
      <w:r>
        <w:rPr/>
        <w:t>Control</w:t>
      </w:r>
      <w:r>
        <w:rPr>
          <w:spacing w:val="16"/>
        </w:rPr>
        <w:t> </w:t>
      </w:r>
      <w:bookmarkEnd w:id="40"/>
      <w:r>
        <w:rPr>
          <w:spacing w:val="-2"/>
        </w:rPr>
        <w:t>group</w:t>
      </w:r>
    </w:p>
    <w:p>
      <w:pPr>
        <w:pStyle w:val="BodyText"/>
        <w:spacing w:before="7"/>
        <w:rPr>
          <w:b/>
        </w:rPr>
      </w:pPr>
    </w:p>
    <w:p>
      <w:pPr>
        <w:pStyle w:val="BodyText"/>
        <w:spacing w:line="491" w:lineRule="auto" w:before="1"/>
        <w:ind w:left="665" w:right="906"/>
        <w:jc w:val="both"/>
      </w:pPr>
      <w:r>
        <w:rPr/>
        <w:t>The outcome here,</w:t>
      </w:r>
      <w:r>
        <w:rPr>
          <w:spacing w:val="19"/>
        </w:rPr>
        <w:t> </w:t>
      </w:r>
      <w:r>
        <w:rPr/>
        <w:t>reveal how mice</w:t>
      </w:r>
      <w:r>
        <w:rPr>
          <w:spacing w:val="18"/>
        </w:rPr>
        <w:t> </w:t>
      </w:r>
      <w:r>
        <w:rPr/>
        <w:t>in the control group</w:t>
      </w:r>
      <w:r>
        <w:rPr>
          <w:spacing w:val="19"/>
        </w:rPr>
        <w:t> </w:t>
      </w:r>
      <w:r>
        <w:rPr/>
        <w:t>were able to</w:t>
      </w:r>
      <w:r>
        <w:rPr>
          <w:spacing w:val="19"/>
        </w:rPr>
        <w:t> </w:t>
      </w:r>
      <w:r>
        <w:rPr/>
        <w:t>easily</w:t>
      </w:r>
      <w:r>
        <w:rPr>
          <w:spacing w:val="-3"/>
        </w:rPr>
        <w:t> </w:t>
      </w:r>
      <w:r>
        <w:rPr/>
        <w:t>recall (Day- 2) the learned (Day-1) behaviour under normal circumstances, thus having reduced latencies on the second day (Fig. 4.3).</w:t>
      </w:r>
    </w:p>
    <w:p>
      <w:pPr>
        <w:spacing w:after="0" w:line="491" w:lineRule="auto"/>
        <w:jc w:val="both"/>
        <w:sectPr>
          <w:pgSz w:w="12240" w:h="15840"/>
          <w:pgMar w:header="0" w:footer="916" w:top="1260" w:bottom="1100" w:left="1720" w:right="960"/>
        </w:sectPr>
      </w:pPr>
    </w:p>
    <w:p>
      <w:pPr>
        <w:pStyle w:val="BodyText"/>
        <w:spacing w:before="4"/>
        <w:rPr>
          <w:sz w:val="17"/>
        </w:rPr>
      </w:pPr>
    </w:p>
    <w:p>
      <w:pPr>
        <w:spacing w:after="0"/>
        <w:rPr>
          <w:sz w:val="17"/>
        </w:rPr>
        <w:sectPr>
          <w:pgSz w:w="12240" w:h="15840"/>
          <w:pgMar w:header="0" w:footer="916" w:top="1820" w:bottom="1100" w:left="1720" w:right="960"/>
        </w:sectPr>
      </w:pPr>
    </w:p>
    <w:p>
      <w:pPr>
        <w:spacing w:before="75"/>
        <w:ind w:left="1140" w:right="0" w:firstLine="0"/>
        <w:jc w:val="left"/>
        <w:rPr>
          <w:b/>
          <w:sz w:val="22"/>
        </w:rPr>
      </w:pPr>
      <w:r>
        <w:rPr/>
        <mc:AlternateContent>
          <mc:Choice Requires="wps">
            <w:drawing>
              <wp:anchor distT="0" distB="0" distL="0" distR="0" allowOverlap="1" layoutInCell="1" locked="0" behindDoc="0" simplePos="0" relativeHeight="15736832">
                <wp:simplePos x="0" y="0"/>
                <wp:positionH relativeFrom="page">
                  <wp:posOffset>1970913</wp:posOffset>
                </wp:positionH>
                <wp:positionV relativeFrom="paragraph">
                  <wp:posOffset>126111</wp:posOffset>
                </wp:positionV>
                <wp:extent cx="4722495" cy="4065270"/>
                <wp:effectExtent l="0" t="0" r="0" b="0"/>
                <wp:wrapNone/>
                <wp:docPr id="72" name="Group 72"/>
                <wp:cNvGraphicFramePr>
                  <a:graphicFrameLocks/>
                </wp:cNvGraphicFramePr>
                <a:graphic>
                  <a:graphicData uri="http://schemas.microsoft.com/office/word/2010/wordprocessingGroup">
                    <wpg:wgp>
                      <wpg:cNvPr id="72" name="Group 72"/>
                      <wpg:cNvGrpSpPr/>
                      <wpg:grpSpPr>
                        <a:xfrm>
                          <a:off x="0" y="0"/>
                          <a:ext cx="4722495" cy="4065270"/>
                          <a:chExt cx="4722495" cy="4065270"/>
                        </a:xfrm>
                      </wpg:grpSpPr>
                      <wps:wsp>
                        <wps:cNvPr id="73" name="Graphic 73"/>
                        <wps:cNvSpPr/>
                        <wps:spPr>
                          <a:xfrm>
                            <a:off x="367665" y="1146810"/>
                            <a:ext cx="446405" cy="2874645"/>
                          </a:xfrm>
                          <a:custGeom>
                            <a:avLst/>
                            <a:gdLst/>
                            <a:ahLst/>
                            <a:cxnLst/>
                            <a:rect l="l" t="t" r="r" b="b"/>
                            <a:pathLst>
                              <a:path w="446405" h="2874645">
                                <a:moveTo>
                                  <a:pt x="446341" y="0"/>
                                </a:moveTo>
                                <a:lnTo>
                                  <a:pt x="0" y="0"/>
                                </a:lnTo>
                                <a:lnTo>
                                  <a:pt x="0" y="2874073"/>
                                </a:lnTo>
                                <a:lnTo>
                                  <a:pt x="446341" y="2874073"/>
                                </a:lnTo>
                                <a:lnTo>
                                  <a:pt x="446341" y="0"/>
                                </a:lnTo>
                                <a:close/>
                              </a:path>
                            </a:pathLst>
                          </a:custGeom>
                          <a:solidFill>
                            <a:srgbClr val="9999FF"/>
                          </a:solidFill>
                        </wps:spPr>
                        <wps:bodyPr wrap="square" lIns="0" tIns="0" rIns="0" bIns="0" rtlCol="0">
                          <a:prstTxWarp prst="textNoShape">
                            <a:avLst/>
                          </a:prstTxWarp>
                          <a:noAutofit/>
                        </wps:bodyPr>
                      </wps:wsp>
                      <wps:wsp>
                        <wps:cNvPr id="74" name="Graphic 74"/>
                        <wps:cNvSpPr/>
                        <wps:spPr>
                          <a:xfrm>
                            <a:off x="367665" y="1146810"/>
                            <a:ext cx="446405" cy="2874645"/>
                          </a:xfrm>
                          <a:custGeom>
                            <a:avLst/>
                            <a:gdLst/>
                            <a:ahLst/>
                            <a:cxnLst/>
                            <a:rect l="l" t="t" r="r" b="b"/>
                            <a:pathLst>
                              <a:path w="446405" h="2874645">
                                <a:moveTo>
                                  <a:pt x="0" y="0"/>
                                </a:moveTo>
                                <a:lnTo>
                                  <a:pt x="446341" y="0"/>
                                </a:lnTo>
                                <a:lnTo>
                                  <a:pt x="446341" y="2874073"/>
                                </a:lnTo>
                                <a:lnTo>
                                  <a:pt x="0" y="2874073"/>
                                </a:lnTo>
                                <a:lnTo>
                                  <a:pt x="0" y="0"/>
                                </a:lnTo>
                                <a:close/>
                              </a:path>
                            </a:pathLst>
                          </a:custGeom>
                          <a:ln w="8439">
                            <a:solidFill>
                              <a:srgbClr val="000000"/>
                            </a:solidFill>
                            <a:prstDash val="solid"/>
                          </a:ln>
                        </wps:spPr>
                        <wps:bodyPr wrap="square" lIns="0" tIns="0" rIns="0" bIns="0" rtlCol="0">
                          <a:prstTxWarp prst="textNoShape">
                            <a:avLst/>
                          </a:prstTxWarp>
                          <a:noAutofit/>
                        </wps:bodyPr>
                      </wps:wsp>
                      <wps:wsp>
                        <wps:cNvPr id="75" name="Graphic 75"/>
                        <wps:cNvSpPr/>
                        <wps:spPr>
                          <a:xfrm>
                            <a:off x="1929574" y="1829752"/>
                            <a:ext cx="447675" cy="2191385"/>
                          </a:xfrm>
                          <a:custGeom>
                            <a:avLst/>
                            <a:gdLst/>
                            <a:ahLst/>
                            <a:cxnLst/>
                            <a:rect l="l" t="t" r="r" b="b"/>
                            <a:pathLst>
                              <a:path w="447675" h="2191385">
                                <a:moveTo>
                                  <a:pt x="447294" y="0"/>
                                </a:moveTo>
                                <a:lnTo>
                                  <a:pt x="0" y="0"/>
                                </a:lnTo>
                                <a:lnTo>
                                  <a:pt x="0" y="2191131"/>
                                </a:lnTo>
                                <a:lnTo>
                                  <a:pt x="447294" y="2191131"/>
                                </a:lnTo>
                                <a:lnTo>
                                  <a:pt x="447294" y="0"/>
                                </a:lnTo>
                                <a:close/>
                              </a:path>
                            </a:pathLst>
                          </a:custGeom>
                          <a:solidFill>
                            <a:srgbClr val="9999FF"/>
                          </a:solidFill>
                        </wps:spPr>
                        <wps:bodyPr wrap="square" lIns="0" tIns="0" rIns="0" bIns="0" rtlCol="0">
                          <a:prstTxWarp prst="textNoShape">
                            <a:avLst/>
                          </a:prstTxWarp>
                          <a:noAutofit/>
                        </wps:bodyPr>
                      </wps:wsp>
                      <wps:wsp>
                        <wps:cNvPr id="76" name="Graphic 76"/>
                        <wps:cNvSpPr/>
                        <wps:spPr>
                          <a:xfrm>
                            <a:off x="1929574" y="1829752"/>
                            <a:ext cx="447675" cy="2191385"/>
                          </a:xfrm>
                          <a:custGeom>
                            <a:avLst/>
                            <a:gdLst/>
                            <a:ahLst/>
                            <a:cxnLst/>
                            <a:rect l="l" t="t" r="r" b="b"/>
                            <a:pathLst>
                              <a:path w="447675" h="2191385">
                                <a:moveTo>
                                  <a:pt x="0" y="0"/>
                                </a:moveTo>
                                <a:lnTo>
                                  <a:pt x="447294" y="0"/>
                                </a:lnTo>
                                <a:lnTo>
                                  <a:pt x="447294" y="2191131"/>
                                </a:lnTo>
                                <a:lnTo>
                                  <a:pt x="0" y="2191131"/>
                                </a:lnTo>
                                <a:lnTo>
                                  <a:pt x="0" y="0"/>
                                </a:lnTo>
                                <a:close/>
                              </a:path>
                            </a:pathLst>
                          </a:custGeom>
                          <a:ln w="8439">
                            <a:solidFill>
                              <a:srgbClr val="000000"/>
                            </a:solidFill>
                            <a:prstDash val="solid"/>
                          </a:ln>
                        </wps:spPr>
                        <wps:bodyPr wrap="square" lIns="0" tIns="0" rIns="0" bIns="0" rtlCol="0">
                          <a:prstTxWarp prst="textNoShape">
                            <a:avLst/>
                          </a:prstTxWarp>
                          <a:noAutofit/>
                        </wps:bodyPr>
                      </wps:wsp>
                      <wps:wsp>
                        <wps:cNvPr id="77" name="Graphic 77"/>
                        <wps:cNvSpPr/>
                        <wps:spPr>
                          <a:xfrm>
                            <a:off x="3492627" y="1408747"/>
                            <a:ext cx="446405" cy="2612390"/>
                          </a:xfrm>
                          <a:custGeom>
                            <a:avLst/>
                            <a:gdLst/>
                            <a:ahLst/>
                            <a:cxnLst/>
                            <a:rect l="l" t="t" r="r" b="b"/>
                            <a:pathLst>
                              <a:path w="446405" h="2612390">
                                <a:moveTo>
                                  <a:pt x="446341" y="0"/>
                                </a:moveTo>
                                <a:lnTo>
                                  <a:pt x="0" y="0"/>
                                </a:lnTo>
                                <a:lnTo>
                                  <a:pt x="0" y="2612136"/>
                                </a:lnTo>
                                <a:lnTo>
                                  <a:pt x="446341" y="2612136"/>
                                </a:lnTo>
                                <a:lnTo>
                                  <a:pt x="446341" y="0"/>
                                </a:lnTo>
                                <a:close/>
                              </a:path>
                            </a:pathLst>
                          </a:custGeom>
                          <a:solidFill>
                            <a:srgbClr val="9999FF"/>
                          </a:solidFill>
                        </wps:spPr>
                        <wps:bodyPr wrap="square" lIns="0" tIns="0" rIns="0" bIns="0" rtlCol="0">
                          <a:prstTxWarp prst="textNoShape">
                            <a:avLst/>
                          </a:prstTxWarp>
                          <a:noAutofit/>
                        </wps:bodyPr>
                      </wps:wsp>
                      <wps:wsp>
                        <wps:cNvPr id="78" name="Graphic 78"/>
                        <wps:cNvSpPr/>
                        <wps:spPr>
                          <a:xfrm>
                            <a:off x="3492627" y="1408747"/>
                            <a:ext cx="446405" cy="2612390"/>
                          </a:xfrm>
                          <a:custGeom>
                            <a:avLst/>
                            <a:gdLst/>
                            <a:ahLst/>
                            <a:cxnLst/>
                            <a:rect l="l" t="t" r="r" b="b"/>
                            <a:pathLst>
                              <a:path w="446405" h="2612390">
                                <a:moveTo>
                                  <a:pt x="0" y="0"/>
                                </a:moveTo>
                                <a:lnTo>
                                  <a:pt x="446341" y="0"/>
                                </a:lnTo>
                                <a:lnTo>
                                  <a:pt x="446341" y="2612136"/>
                                </a:lnTo>
                                <a:lnTo>
                                  <a:pt x="0" y="2612136"/>
                                </a:lnTo>
                                <a:lnTo>
                                  <a:pt x="0" y="0"/>
                                </a:lnTo>
                                <a:close/>
                              </a:path>
                            </a:pathLst>
                          </a:custGeom>
                          <a:ln w="8439">
                            <a:solidFill>
                              <a:srgbClr val="000000"/>
                            </a:solidFill>
                            <a:prstDash val="solid"/>
                          </a:ln>
                        </wps:spPr>
                        <wps:bodyPr wrap="square" lIns="0" tIns="0" rIns="0" bIns="0" rtlCol="0">
                          <a:prstTxWarp prst="textNoShape">
                            <a:avLst/>
                          </a:prstTxWarp>
                          <a:noAutofit/>
                        </wps:bodyPr>
                      </wps:wsp>
                      <wps:wsp>
                        <wps:cNvPr id="79" name="Graphic 79"/>
                        <wps:cNvSpPr/>
                        <wps:spPr>
                          <a:xfrm>
                            <a:off x="814006" y="2653855"/>
                            <a:ext cx="447040" cy="1367155"/>
                          </a:xfrm>
                          <a:custGeom>
                            <a:avLst/>
                            <a:gdLst/>
                            <a:ahLst/>
                            <a:cxnLst/>
                            <a:rect l="l" t="t" r="r" b="b"/>
                            <a:pathLst>
                              <a:path w="447040" h="1367155">
                                <a:moveTo>
                                  <a:pt x="446531" y="0"/>
                                </a:moveTo>
                                <a:lnTo>
                                  <a:pt x="0" y="0"/>
                                </a:lnTo>
                                <a:lnTo>
                                  <a:pt x="0" y="1367028"/>
                                </a:lnTo>
                                <a:lnTo>
                                  <a:pt x="446531" y="1367028"/>
                                </a:lnTo>
                                <a:lnTo>
                                  <a:pt x="446531" y="0"/>
                                </a:lnTo>
                                <a:close/>
                              </a:path>
                            </a:pathLst>
                          </a:custGeom>
                          <a:solidFill>
                            <a:srgbClr val="FFFF00"/>
                          </a:solidFill>
                        </wps:spPr>
                        <wps:bodyPr wrap="square" lIns="0" tIns="0" rIns="0" bIns="0" rtlCol="0">
                          <a:prstTxWarp prst="textNoShape">
                            <a:avLst/>
                          </a:prstTxWarp>
                          <a:noAutofit/>
                        </wps:bodyPr>
                      </wps:wsp>
                      <wps:wsp>
                        <wps:cNvPr id="80" name="Graphic 80"/>
                        <wps:cNvSpPr/>
                        <wps:spPr>
                          <a:xfrm>
                            <a:off x="814006" y="2653855"/>
                            <a:ext cx="447040" cy="1367155"/>
                          </a:xfrm>
                          <a:custGeom>
                            <a:avLst/>
                            <a:gdLst/>
                            <a:ahLst/>
                            <a:cxnLst/>
                            <a:rect l="l" t="t" r="r" b="b"/>
                            <a:pathLst>
                              <a:path w="447040" h="1367155">
                                <a:moveTo>
                                  <a:pt x="0" y="0"/>
                                </a:moveTo>
                                <a:lnTo>
                                  <a:pt x="446531" y="0"/>
                                </a:lnTo>
                                <a:lnTo>
                                  <a:pt x="446531" y="1367028"/>
                                </a:lnTo>
                                <a:lnTo>
                                  <a:pt x="0" y="1367028"/>
                                </a:lnTo>
                                <a:lnTo>
                                  <a:pt x="0" y="0"/>
                                </a:lnTo>
                                <a:close/>
                              </a:path>
                            </a:pathLst>
                          </a:custGeom>
                          <a:ln w="8439">
                            <a:solidFill>
                              <a:srgbClr val="000000"/>
                            </a:solidFill>
                            <a:prstDash val="solid"/>
                          </a:ln>
                        </wps:spPr>
                        <wps:bodyPr wrap="square" lIns="0" tIns="0" rIns="0" bIns="0" rtlCol="0">
                          <a:prstTxWarp prst="textNoShape">
                            <a:avLst/>
                          </a:prstTxWarp>
                          <a:noAutofit/>
                        </wps:bodyPr>
                      </wps:wsp>
                      <wps:wsp>
                        <wps:cNvPr id="81" name="Graphic 81"/>
                        <wps:cNvSpPr/>
                        <wps:spPr>
                          <a:xfrm>
                            <a:off x="2376868" y="2574417"/>
                            <a:ext cx="447040" cy="1446530"/>
                          </a:xfrm>
                          <a:custGeom>
                            <a:avLst/>
                            <a:gdLst/>
                            <a:ahLst/>
                            <a:cxnLst/>
                            <a:rect l="l" t="t" r="r" b="b"/>
                            <a:pathLst>
                              <a:path w="447040" h="1446530">
                                <a:moveTo>
                                  <a:pt x="446531" y="0"/>
                                </a:moveTo>
                                <a:lnTo>
                                  <a:pt x="0" y="0"/>
                                </a:lnTo>
                                <a:lnTo>
                                  <a:pt x="0" y="1446466"/>
                                </a:lnTo>
                                <a:lnTo>
                                  <a:pt x="446531" y="1446466"/>
                                </a:lnTo>
                                <a:lnTo>
                                  <a:pt x="446531" y="0"/>
                                </a:lnTo>
                                <a:close/>
                              </a:path>
                            </a:pathLst>
                          </a:custGeom>
                          <a:solidFill>
                            <a:srgbClr val="FFFF00"/>
                          </a:solidFill>
                        </wps:spPr>
                        <wps:bodyPr wrap="square" lIns="0" tIns="0" rIns="0" bIns="0" rtlCol="0">
                          <a:prstTxWarp prst="textNoShape">
                            <a:avLst/>
                          </a:prstTxWarp>
                          <a:noAutofit/>
                        </wps:bodyPr>
                      </wps:wsp>
                      <wps:wsp>
                        <wps:cNvPr id="82" name="Graphic 82"/>
                        <wps:cNvSpPr/>
                        <wps:spPr>
                          <a:xfrm>
                            <a:off x="2376868" y="2574417"/>
                            <a:ext cx="447040" cy="1446530"/>
                          </a:xfrm>
                          <a:custGeom>
                            <a:avLst/>
                            <a:gdLst/>
                            <a:ahLst/>
                            <a:cxnLst/>
                            <a:rect l="l" t="t" r="r" b="b"/>
                            <a:pathLst>
                              <a:path w="447040" h="1446530">
                                <a:moveTo>
                                  <a:pt x="0" y="0"/>
                                </a:moveTo>
                                <a:lnTo>
                                  <a:pt x="446531" y="0"/>
                                </a:lnTo>
                                <a:lnTo>
                                  <a:pt x="446531" y="1446466"/>
                                </a:lnTo>
                                <a:lnTo>
                                  <a:pt x="0" y="1446466"/>
                                </a:lnTo>
                                <a:lnTo>
                                  <a:pt x="0" y="0"/>
                                </a:lnTo>
                                <a:close/>
                              </a:path>
                            </a:pathLst>
                          </a:custGeom>
                          <a:ln w="8439">
                            <a:solidFill>
                              <a:srgbClr val="000000"/>
                            </a:solidFill>
                            <a:prstDash val="solid"/>
                          </a:ln>
                        </wps:spPr>
                        <wps:bodyPr wrap="square" lIns="0" tIns="0" rIns="0" bIns="0" rtlCol="0">
                          <a:prstTxWarp prst="textNoShape">
                            <a:avLst/>
                          </a:prstTxWarp>
                          <a:noAutofit/>
                        </wps:bodyPr>
                      </wps:wsp>
                      <wps:wsp>
                        <wps:cNvPr id="83" name="Graphic 83"/>
                        <wps:cNvSpPr/>
                        <wps:spPr>
                          <a:xfrm>
                            <a:off x="3938968" y="1750314"/>
                            <a:ext cx="446405" cy="2270760"/>
                          </a:xfrm>
                          <a:custGeom>
                            <a:avLst/>
                            <a:gdLst/>
                            <a:ahLst/>
                            <a:cxnLst/>
                            <a:rect l="l" t="t" r="r" b="b"/>
                            <a:pathLst>
                              <a:path w="446405" h="2270760">
                                <a:moveTo>
                                  <a:pt x="446341" y="0"/>
                                </a:moveTo>
                                <a:lnTo>
                                  <a:pt x="0" y="0"/>
                                </a:lnTo>
                                <a:lnTo>
                                  <a:pt x="0" y="2270569"/>
                                </a:lnTo>
                                <a:lnTo>
                                  <a:pt x="446341" y="2270569"/>
                                </a:lnTo>
                                <a:lnTo>
                                  <a:pt x="446341" y="0"/>
                                </a:lnTo>
                                <a:close/>
                              </a:path>
                            </a:pathLst>
                          </a:custGeom>
                          <a:solidFill>
                            <a:srgbClr val="FFFF00"/>
                          </a:solidFill>
                        </wps:spPr>
                        <wps:bodyPr wrap="square" lIns="0" tIns="0" rIns="0" bIns="0" rtlCol="0">
                          <a:prstTxWarp prst="textNoShape">
                            <a:avLst/>
                          </a:prstTxWarp>
                          <a:noAutofit/>
                        </wps:bodyPr>
                      </wps:wsp>
                      <wps:wsp>
                        <wps:cNvPr id="84" name="Graphic 84"/>
                        <wps:cNvSpPr/>
                        <wps:spPr>
                          <a:xfrm>
                            <a:off x="3938968" y="1750314"/>
                            <a:ext cx="446405" cy="2270760"/>
                          </a:xfrm>
                          <a:custGeom>
                            <a:avLst/>
                            <a:gdLst/>
                            <a:ahLst/>
                            <a:cxnLst/>
                            <a:rect l="l" t="t" r="r" b="b"/>
                            <a:pathLst>
                              <a:path w="446405" h="2270760">
                                <a:moveTo>
                                  <a:pt x="0" y="0"/>
                                </a:moveTo>
                                <a:lnTo>
                                  <a:pt x="446341" y="0"/>
                                </a:lnTo>
                                <a:lnTo>
                                  <a:pt x="446341" y="2270569"/>
                                </a:lnTo>
                                <a:lnTo>
                                  <a:pt x="0" y="2270569"/>
                                </a:lnTo>
                                <a:lnTo>
                                  <a:pt x="0" y="0"/>
                                </a:lnTo>
                                <a:close/>
                              </a:path>
                            </a:pathLst>
                          </a:custGeom>
                          <a:ln w="8439">
                            <a:solidFill>
                              <a:srgbClr val="000000"/>
                            </a:solidFill>
                            <a:prstDash val="solid"/>
                          </a:ln>
                        </wps:spPr>
                        <wps:bodyPr wrap="square" lIns="0" tIns="0" rIns="0" bIns="0" rtlCol="0">
                          <a:prstTxWarp prst="textNoShape">
                            <a:avLst/>
                          </a:prstTxWarp>
                          <a:noAutofit/>
                        </wps:bodyPr>
                      </wps:wsp>
                      <wps:wsp>
                        <wps:cNvPr id="85" name="Graphic 85"/>
                        <wps:cNvSpPr/>
                        <wps:spPr>
                          <a:xfrm>
                            <a:off x="571309" y="353568"/>
                            <a:ext cx="3610610" cy="2491740"/>
                          </a:xfrm>
                          <a:custGeom>
                            <a:avLst/>
                            <a:gdLst/>
                            <a:ahLst/>
                            <a:cxnLst/>
                            <a:rect l="l" t="t" r="r" b="b"/>
                            <a:pathLst>
                              <a:path w="3610610" h="2491740">
                                <a:moveTo>
                                  <a:pt x="19050" y="793242"/>
                                </a:moveTo>
                                <a:lnTo>
                                  <a:pt x="19050" y="270319"/>
                                </a:lnTo>
                              </a:path>
                              <a:path w="3610610" h="2491740">
                                <a:moveTo>
                                  <a:pt x="0" y="270319"/>
                                </a:moveTo>
                                <a:lnTo>
                                  <a:pt x="39052" y="270319"/>
                                </a:lnTo>
                              </a:path>
                              <a:path w="3610610" h="2491740">
                                <a:moveTo>
                                  <a:pt x="1581912" y="1476184"/>
                                </a:moveTo>
                                <a:lnTo>
                                  <a:pt x="1581912" y="1035176"/>
                                </a:lnTo>
                              </a:path>
                              <a:path w="3610610" h="2491740">
                                <a:moveTo>
                                  <a:pt x="1563052" y="1035176"/>
                                </a:moveTo>
                                <a:lnTo>
                                  <a:pt x="1601914" y="1035176"/>
                                </a:lnTo>
                              </a:path>
                              <a:path w="3610610" h="2491740">
                                <a:moveTo>
                                  <a:pt x="3144012" y="1055179"/>
                                </a:moveTo>
                                <a:lnTo>
                                  <a:pt x="3144012" y="0"/>
                                </a:lnTo>
                              </a:path>
                              <a:path w="3610610" h="2491740">
                                <a:moveTo>
                                  <a:pt x="3124962" y="0"/>
                                </a:moveTo>
                                <a:lnTo>
                                  <a:pt x="3163824" y="0"/>
                                </a:lnTo>
                              </a:path>
                              <a:path w="3610610" h="2491740">
                                <a:moveTo>
                                  <a:pt x="19050" y="793242"/>
                                </a:moveTo>
                                <a:lnTo>
                                  <a:pt x="19050" y="1316164"/>
                                </a:lnTo>
                              </a:path>
                              <a:path w="3610610" h="2491740">
                                <a:moveTo>
                                  <a:pt x="0" y="1316164"/>
                                </a:moveTo>
                                <a:lnTo>
                                  <a:pt x="39052" y="1316164"/>
                                </a:lnTo>
                              </a:path>
                              <a:path w="3610610" h="2491740">
                                <a:moveTo>
                                  <a:pt x="1581912" y="1476184"/>
                                </a:moveTo>
                                <a:lnTo>
                                  <a:pt x="1581912" y="1918525"/>
                                </a:lnTo>
                              </a:path>
                              <a:path w="3610610" h="2491740">
                                <a:moveTo>
                                  <a:pt x="1563052" y="1918525"/>
                                </a:moveTo>
                                <a:lnTo>
                                  <a:pt x="1601914" y="1918525"/>
                                </a:lnTo>
                              </a:path>
                              <a:path w="3610610" h="2491740">
                                <a:moveTo>
                                  <a:pt x="3144012" y="1055179"/>
                                </a:moveTo>
                                <a:lnTo>
                                  <a:pt x="3144012" y="2109406"/>
                                </a:lnTo>
                              </a:path>
                              <a:path w="3610610" h="2491740">
                                <a:moveTo>
                                  <a:pt x="3124962" y="2109406"/>
                                </a:moveTo>
                                <a:lnTo>
                                  <a:pt x="3163824" y="2109406"/>
                                </a:lnTo>
                              </a:path>
                              <a:path w="3610610" h="2491740">
                                <a:moveTo>
                                  <a:pt x="465581" y="2300287"/>
                                </a:moveTo>
                                <a:lnTo>
                                  <a:pt x="465581" y="2109406"/>
                                </a:lnTo>
                              </a:path>
                              <a:path w="3610610" h="2491740">
                                <a:moveTo>
                                  <a:pt x="446531" y="2109406"/>
                                </a:moveTo>
                                <a:lnTo>
                                  <a:pt x="485394" y="2109406"/>
                                </a:lnTo>
                              </a:path>
                              <a:path w="3610610" h="2491740">
                                <a:moveTo>
                                  <a:pt x="2028443" y="2220849"/>
                                </a:moveTo>
                                <a:lnTo>
                                  <a:pt x="2028443" y="2019300"/>
                                </a:lnTo>
                              </a:path>
                              <a:path w="3610610" h="2491740">
                                <a:moveTo>
                                  <a:pt x="2009393" y="2019300"/>
                                </a:moveTo>
                                <a:lnTo>
                                  <a:pt x="2048255" y="2019300"/>
                                </a:lnTo>
                              </a:path>
                              <a:path w="3610610" h="2491740">
                                <a:moveTo>
                                  <a:pt x="3590353" y="1396746"/>
                                </a:moveTo>
                                <a:lnTo>
                                  <a:pt x="3590353" y="732853"/>
                                </a:lnTo>
                              </a:path>
                              <a:path w="3610610" h="2491740">
                                <a:moveTo>
                                  <a:pt x="3571303" y="732853"/>
                                </a:moveTo>
                                <a:lnTo>
                                  <a:pt x="3610355" y="732853"/>
                                </a:lnTo>
                              </a:path>
                              <a:path w="3610610" h="2491740">
                                <a:moveTo>
                                  <a:pt x="465581" y="2300287"/>
                                </a:moveTo>
                                <a:lnTo>
                                  <a:pt x="465581" y="2491168"/>
                                </a:lnTo>
                              </a:path>
                              <a:path w="3610610" h="2491740">
                                <a:moveTo>
                                  <a:pt x="446531" y="2491168"/>
                                </a:moveTo>
                                <a:lnTo>
                                  <a:pt x="485394" y="2491168"/>
                                </a:lnTo>
                              </a:path>
                              <a:path w="3610610" h="2491740">
                                <a:moveTo>
                                  <a:pt x="2028443" y="2220849"/>
                                </a:moveTo>
                                <a:lnTo>
                                  <a:pt x="2028443" y="2421255"/>
                                </a:lnTo>
                              </a:path>
                              <a:path w="3610610" h="2491740">
                                <a:moveTo>
                                  <a:pt x="2009393" y="2421255"/>
                                </a:moveTo>
                                <a:lnTo>
                                  <a:pt x="2048255" y="2421255"/>
                                </a:lnTo>
                              </a:path>
                              <a:path w="3610610" h="2491740">
                                <a:moveTo>
                                  <a:pt x="3590353" y="1396746"/>
                                </a:moveTo>
                                <a:lnTo>
                                  <a:pt x="3590353" y="2059495"/>
                                </a:lnTo>
                              </a:path>
                              <a:path w="3610610" h="2491740">
                                <a:moveTo>
                                  <a:pt x="3571303" y="2059495"/>
                                </a:moveTo>
                                <a:lnTo>
                                  <a:pt x="3610355" y="2059495"/>
                                </a:lnTo>
                              </a:path>
                            </a:pathLst>
                          </a:custGeom>
                          <a:ln w="8439">
                            <a:solidFill>
                              <a:srgbClr val="000000"/>
                            </a:solidFill>
                            <a:prstDash val="solid"/>
                          </a:ln>
                        </wps:spPr>
                        <wps:bodyPr wrap="square" lIns="0" tIns="0" rIns="0" bIns="0" rtlCol="0">
                          <a:prstTxWarp prst="textNoShape">
                            <a:avLst/>
                          </a:prstTxWarp>
                          <a:noAutofit/>
                        </wps:bodyPr>
                      </wps:wsp>
                      <wps:wsp>
                        <wps:cNvPr id="86" name="Graphic 86"/>
                        <wps:cNvSpPr/>
                        <wps:spPr>
                          <a:xfrm>
                            <a:off x="0" y="1523"/>
                            <a:ext cx="4720590" cy="4063365"/>
                          </a:xfrm>
                          <a:custGeom>
                            <a:avLst/>
                            <a:gdLst/>
                            <a:ahLst/>
                            <a:cxnLst/>
                            <a:rect l="l" t="t" r="r" b="b"/>
                            <a:pathLst>
                              <a:path w="4720590" h="4063365">
                                <a:moveTo>
                                  <a:pt x="33528" y="0"/>
                                </a:moveTo>
                                <a:lnTo>
                                  <a:pt x="33528" y="4019359"/>
                                </a:lnTo>
                              </a:path>
                              <a:path w="4720590" h="4063365">
                                <a:moveTo>
                                  <a:pt x="0" y="4019359"/>
                                </a:moveTo>
                                <a:lnTo>
                                  <a:pt x="33528" y="4019359"/>
                                </a:lnTo>
                              </a:path>
                              <a:path w="4720590" h="4063365">
                                <a:moveTo>
                                  <a:pt x="0" y="3516630"/>
                                </a:moveTo>
                                <a:lnTo>
                                  <a:pt x="33528" y="3516630"/>
                                </a:lnTo>
                              </a:path>
                              <a:path w="4720590" h="4063365">
                                <a:moveTo>
                                  <a:pt x="0" y="3015043"/>
                                </a:moveTo>
                                <a:lnTo>
                                  <a:pt x="33528" y="3015043"/>
                                </a:lnTo>
                              </a:path>
                              <a:path w="4720590" h="4063365">
                                <a:moveTo>
                                  <a:pt x="0" y="2512314"/>
                                </a:moveTo>
                                <a:lnTo>
                                  <a:pt x="33528" y="2512314"/>
                                </a:lnTo>
                              </a:path>
                              <a:path w="4720590" h="4063365">
                                <a:moveTo>
                                  <a:pt x="0" y="2009584"/>
                                </a:moveTo>
                                <a:lnTo>
                                  <a:pt x="33528" y="2009584"/>
                                </a:lnTo>
                              </a:path>
                              <a:path w="4720590" h="4063365">
                                <a:moveTo>
                                  <a:pt x="0" y="1506855"/>
                                </a:moveTo>
                                <a:lnTo>
                                  <a:pt x="33528" y="1506855"/>
                                </a:lnTo>
                              </a:path>
                              <a:path w="4720590" h="4063365">
                                <a:moveTo>
                                  <a:pt x="0" y="1005459"/>
                                </a:moveTo>
                                <a:lnTo>
                                  <a:pt x="33528" y="1005459"/>
                                </a:lnTo>
                              </a:path>
                              <a:path w="4720590" h="4063365">
                                <a:moveTo>
                                  <a:pt x="0" y="502729"/>
                                </a:moveTo>
                                <a:lnTo>
                                  <a:pt x="33528" y="502729"/>
                                </a:lnTo>
                              </a:path>
                              <a:path w="4720590" h="4063365">
                                <a:moveTo>
                                  <a:pt x="0" y="0"/>
                                </a:moveTo>
                                <a:lnTo>
                                  <a:pt x="33528" y="0"/>
                                </a:lnTo>
                              </a:path>
                              <a:path w="4720590" h="4063365">
                                <a:moveTo>
                                  <a:pt x="33528" y="4019359"/>
                                </a:moveTo>
                                <a:lnTo>
                                  <a:pt x="4720399" y="4019359"/>
                                </a:lnTo>
                              </a:path>
                              <a:path w="4720590" h="4063365">
                                <a:moveTo>
                                  <a:pt x="33528" y="4063174"/>
                                </a:moveTo>
                                <a:lnTo>
                                  <a:pt x="33528" y="4019359"/>
                                </a:lnTo>
                              </a:path>
                              <a:path w="4720590" h="4063365">
                                <a:moveTo>
                                  <a:pt x="1595437" y="4063174"/>
                                </a:moveTo>
                                <a:lnTo>
                                  <a:pt x="1595437" y="4019359"/>
                                </a:lnTo>
                              </a:path>
                              <a:path w="4720590" h="4063365">
                                <a:moveTo>
                                  <a:pt x="3158490" y="4063174"/>
                                </a:moveTo>
                                <a:lnTo>
                                  <a:pt x="3158490" y="4019359"/>
                                </a:lnTo>
                              </a:path>
                              <a:path w="4720590" h="4063365">
                                <a:moveTo>
                                  <a:pt x="4720399" y="4063174"/>
                                </a:moveTo>
                                <a:lnTo>
                                  <a:pt x="4720399" y="4019359"/>
                                </a:lnTo>
                              </a:path>
                            </a:pathLst>
                          </a:custGeom>
                          <a:ln w="304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5.190002pt;margin-top:9.93pt;width:371.85pt;height:320.1pt;mso-position-horizontal-relative:page;mso-position-vertical-relative:paragraph;z-index:15736832" id="docshapegroup63" coordorigin="3104,199" coordsize="7437,6402">
                <v:rect style="position:absolute;left:3682;top:2004;width:703;height:4527" id="docshape64" filled="true" fillcolor="#9999ff" stroked="false">
                  <v:fill type="solid"/>
                </v:rect>
                <v:rect style="position:absolute;left:3682;top:2004;width:703;height:4527" id="docshape65" filled="false" stroked="true" strokeweight=".66452pt" strokecolor="#000000">
                  <v:stroke dashstyle="solid"/>
                </v:rect>
                <v:rect style="position:absolute;left:6142;top:3080;width:705;height:3451" id="docshape66" filled="true" fillcolor="#9999ff" stroked="false">
                  <v:fill type="solid"/>
                </v:rect>
                <v:rect style="position:absolute;left:6142;top:3080;width:705;height:3451" id="docshape67" filled="false" stroked="true" strokeweight=".66452pt" strokecolor="#000000">
                  <v:stroke dashstyle="solid"/>
                </v:rect>
                <v:rect style="position:absolute;left:8604;top:2417;width:703;height:4114" id="docshape68" filled="true" fillcolor="#9999ff" stroked="false">
                  <v:fill type="solid"/>
                </v:rect>
                <v:rect style="position:absolute;left:8604;top:2417;width:703;height:4114" id="docshape69" filled="false" stroked="true" strokeweight=".66452pt" strokecolor="#000000">
                  <v:stroke dashstyle="solid"/>
                </v:rect>
                <v:rect style="position:absolute;left:4385;top:4377;width:704;height:2153" id="docshape70" filled="true" fillcolor="#ffff00" stroked="false">
                  <v:fill type="solid"/>
                </v:rect>
                <v:rect style="position:absolute;left:4385;top:4377;width:704;height:2153" id="docshape71" filled="false" stroked="true" strokeweight=".66452pt" strokecolor="#000000">
                  <v:stroke dashstyle="solid"/>
                </v:rect>
                <v:rect style="position:absolute;left:6846;top:4252;width:704;height:2278" id="docshape72" filled="true" fillcolor="#ffff00" stroked="false">
                  <v:fill type="solid"/>
                </v:rect>
                <v:rect style="position:absolute;left:6846;top:4252;width:704;height:2278" id="docshape73" filled="false" stroked="true" strokeweight=".66452pt" strokecolor="#000000">
                  <v:stroke dashstyle="solid"/>
                </v:rect>
                <v:rect style="position:absolute;left:9306;top:2955;width:703;height:3576" id="docshape74" filled="true" fillcolor="#ffff00" stroked="false">
                  <v:fill type="solid"/>
                </v:rect>
                <v:rect style="position:absolute;left:9306;top:2955;width:703;height:3576" id="docshape75" filled="false" stroked="true" strokeweight=".66452pt" strokecolor="#000000">
                  <v:stroke dashstyle="solid"/>
                </v:rect>
                <v:shape style="position:absolute;left:4003;top:755;width:5686;height:3924" id="docshape76" coordorigin="4004,755" coordsize="5686,3924" path="m4034,2005l4034,1181m4004,1181l4065,1181m6495,3080l6495,2386m6465,2386l6526,2386m8955,2417l8955,755m8925,755l8986,755m4034,2005l4034,2828m4004,2828l4065,2828m6495,3080l6495,3777m6465,3777l6526,3777m8955,2417l8955,4077m8925,4077l8986,4077m4737,4378l4737,4077m4707,4077l4768,4077m7198,4253l7198,3935m7168,3935l7229,3935m9658,2955l9658,1910m9628,1910l9689,1910m4737,4378l4737,4679m4707,4679l4768,4679m7198,4253l7198,4568m7168,4568l7229,4568m9658,2955l9658,3999m9628,3999l9689,3999e" filled="false" stroked="true" strokeweight=".66452pt" strokecolor="#000000">
                  <v:path arrowok="t"/>
                  <v:stroke dashstyle="solid"/>
                </v:shape>
                <v:shape style="position:absolute;left:3103;top:201;width:7434;height:6399" id="docshape77" coordorigin="3104,201" coordsize="7434,6399" path="m3157,201l3157,6531m3104,6531l3157,6531m3104,5739l3157,5739m3104,4949l3157,4949m3104,4157l3157,4157m3104,3366l3157,3366m3104,2574l3157,2574m3104,1784l3157,1784m3104,993l3157,993m3104,201l3157,201m3157,6531l10538,6531m3157,6600l3157,6531m5616,6600l5616,6531m8078,6600l8078,6531m10538,6600l10538,6531e" filled="false" stroked="true" strokeweight=".24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7344">
                <wp:simplePos x="0" y="0"/>
                <wp:positionH relativeFrom="page">
                  <wp:posOffset>4783645</wp:posOffset>
                </wp:positionH>
                <wp:positionV relativeFrom="paragraph">
                  <wp:posOffset>65531</wp:posOffset>
                </wp:positionV>
                <wp:extent cx="659130" cy="447675"/>
                <wp:effectExtent l="0" t="0" r="0" b="0"/>
                <wp:wrapNone/>
                <wp:docPr id="87" name="Group 87"/>
                <wp:cNvGraphicFramePr>
                  <a:graphicFrameLocks/>
                </wp:cNvGraphicFramePr>
                <a:graphic>
                  <a:graphicData uri="http://schemas.microsoft.com/office/word/2010/wordprocessingGroup">
                    <wpg:wgp>
                      <wpg:cNvPr id="87" name="Group 87"/>
                      <wpg:cNvGrpSpPr/>
                      <wpg:grpSpPr>
                        <a:xfrm>
                          <a:off x="0" y="0"/>
                          <a:ext cx="659130" cy="447675"/>
                          <a:chExt cx="659130" cy="447675"/>
                        </a:xfrm>
                      </wpg:grpSpPr>
                      <wps:wsp>
                        <wps:cNvPr id="88" name="Graphic 88"/>
                        <wps:cNvSpPr/>
                        <wps:spPr>
                          <a:xfrm>
                            <a:off x="156400" y="75056"/>
                            <a:ext cx="66675" cy="86995"/>
                          </a:xfrm>
                          <a:custGeom>
                            <a:avLst/>
                            <a:gdLst/>
                            <a:ahLst/>
                            <a:cxnLst/>
                            <a:rect l="l" t="t" r="r" b="b"/>
                            <a:pathLst>
                              <a:path w="66675" h="86995">
                                <a:moveTo>
                                  <a:pt x="66103" y="0"/>
                                </a:moveTo>
                                <a:lnTo>
                                  <a:pt x="0" y="0"/>
                                </a:lnTo>
                                <a:lnTo>
                                  <a:pt x="0" y="86486"/>
                                </a:lnTo>
                                <a:lnTo>
                                  <a:pt x="66103" y="86486"/>
                                </a:lnTo>
                                <a:lnTo>
                                  <a:pt x="66103" y="0"/>
                                </a:lnTo>
                                <a:close/>
                              </a:path>
                            </a:pathLst>
                          </a:custGeom>
                          <a:solidFill>
                            <a:srgbClr val="9999FF"/>
                          </a:solidFill>
                        </wps:spPr>
                        <wps:bodyPr wrap="square" lIns="0" tIns="0" rIns="0" bIns="0" rtlCol="0">
                          <a:prstTxWarp prst="textNoShape">
                            <a:avLst/>
                          </a:prstTxWarp>
                          <a:noAutofit/>
                        </wps:bodyPr>
                      </wps:wsp>
                      <wps:wsp>
                        <wps:cNvPr id="89" name="Graphic 89"/>
                        <wps:cNvSpPr/>
                        <wps:spPr>
                          <a:xfrm>
                            <a:off x="156400" y="75056"/>
                            <a:ext cx="66675" cy="86995"/>
                          </a:xfrm>
                          <a:custGeom>
                            <a:avLst/>
                            <a:gdLst/>
                            <a:ahLst/>
                            <a:cxnLst/>
                            <a:rect l="l" t="t" r="r" b="b"/>
                            <a:pathLst>
                              <a:path w="66675" h="86995">
                                <a:moveTo>
                                  <a:pt x="0" y="0"/>
                                </a:moveTo>
                                <a:lnTo>
                                  <a:pt x="66103" y="0"/>
                                </a:lnTo>
                                <a:lnTo>
                                  <a:pt x="66103" y="86486"/>
                                </a:lnTo>
                                <a:lnTo>
                                  <a:pt x="0" y="86486"/>
                                </a:lnTo>
                                <a:lnTo>
                                  <a:pt x="0" y="0"/>
                                </a:lnTo>
                                <a:close/>
                              </a:path>
                            </a:pathLst>
                          </a:custGeom>
                          <a:ln w="8439">
                            <a:solidFill>
                              <a:srgbClr val="000000"/>
                            </a:solidFill>
                            <a:prstDash val="solid"/>
                          </a:ln>
                        </wps:spPr>
                        <wps:bodyPr wrap="square" lIns="0" tIns="0" rIns="0" bIns="0" rtlCol="0">
                          <a:prstTxWarp prst="textNoShape">
                            <a:avLst/>
                          </a:prstTxWarp>
                          <a:noAutofit/>
                        </wps:bodyPr>
                      </wps:wsp>
                      <wps:wsp>
                        <wps:cNvPr id="90" name="Graphic 90"/>
                        <wps:cNvSpPr/>
                        <wps:spPr>
                          <a:xfrm>
                            <a:off x="156400" y="296799"/>
                            <a:ext cx="66675" cy="86995"/>
                          </a:xfrm>
                          <a:custGeom>
                            <a:avLst/>
                            <a:gdLst/>
                            <a:ahLst/>
                            <a:cxnLst/>
                            <a:rect l="l" t="t" r="r" b="b"/>
                            <a:pathLst>
                              <a:path w="66675" h="86995">
                                <a:moveTo>
                                  <a:pt x="66103" y="0"/>
                                </a:moveTo>
                                <a:lnTo>
                                  <a:pt x="0" y="0"/>
                                </a:lnTo>
                                <a:lnTo>
                                  <a:pt x="0" y="86487"/>
                                </a:lnTo>
                                <a:lnTo>
                                  <a:pt x="66103" y="86487"/>
                                </a:lnTo>
                                <a:lnTo>
                                  <a:pt x="66103" y="0"/>
                                </a:lnTo>
                                <a:close/>
                              </a:path>
                            </a:pathLst>
                          </a:custGeom>
                          <a:solidFill>
                            <a:srgbClr val="FFFF00"/>
                          </a:solidFill>
                        </wps:spPr>
                        <wps:bodyPr wrap="square" lIns="0" tIns="0" rIns="0" bIns="0" rtlCol="0">
                          <a:prstTxWarp prst="textNoShape">
                            <a:avLst/>
                          </a:prstTxWarp>
                          <a:noAutofit/>
                        </wps:bodyPr>
                      </wps:wsp>
                      <wps:wsp>
                        <wps:cNvPr id="91" name="Graphic 91"/>
                        <wps:cNvSpPr/>
                        <wps:spPr>
                          <a:xfrm>
                            <a:off x="156400" y="296799"/>
                            <a:ext cx="66675" cy="86995"/>
                          </a:xfrm>
                          <a:custGeom>
                            <a:avLst/>
                            <a:gdLst/>
                            <a:ahLst/>
                            <a:cxnLst/>
                            <a:rect l="l" t="t" r="r" b="b"/>
                            <a:pathLst>
                              <a:path w="66675" h="86995">
                                <a:moveTo>
                                  <a:pt x="0" y="0"/>
                                </a:moveTo>
                                <a:lnTo>
                                  <a:pt x="66103" y="0"/>
                                </a:lnTo>
                                <a:lnTo>
                                  <a:pt x="66103" y="86487"/>
                                </a:lnTo>
                                <a:lnTo>
                                  <a:pt x="0" y="86487"/>
                                </a:lnTo>
                                <a:lnTo>
                                  <a:pt x="0" y="0"/>
                                </a:lnTo>
                                <a:close/>
                              </a:path>
                            </a:pathLst>
                          </a:custGeom>
                          <a:ln w="8439">
                            <a:solidFill>
                              <a:srgbClr val="000000"/>
                            </a:solidFill>
                            <a:prstDash val="solid"/>
                          </a:ln>
                        </wps:spPr>
                        <wps:bodyPr wrap="square" lIns="0" tIns="0" rIns="0" bIns="0" rtlCol="0">
                          <a:prstTxWarp prst="textNoShape">
                            <a:avLst/>
                          </a:prstTxWarp>
                          <a:noAutofit/>
                        </wps:bodyPr>
                      </wps:wsp>
                      <wps:wsp>
                        <wps:cNvPr id="92" name="Textbox 92"/>
                        <wps:cNvSpPr txBox="1"/>
                        <wps:spPr>
                          <a:xfrm>
                            <a:off x="1523" y="1523"/>
                            <a:ext cx="655955" cy="445134"/>
                          </a:xfrm>
                          <a:prstGeom prst="rect">
                            <a:avLst/>
                          </a:prstGeom>
                          <a:ln w="3048">
                            <a:solidFill>
                              <a:srgbClr val="000000"/>
                            </a:solidFill>
                            <a:prstDash val="solid"/>
                          </a:ln>
                        </wps:spPr>
                        <wps:txbx>
                          <w:txbxContent>
                            <w:p>
                              <w:pPr>
                                <w:spacing w:before="58"/>
                                <w:ind w:left="386" w:right="0" w:firstLine="0"/>
                                <w:jc w:val="left"/>
                                <w:rPr>
                                  <w:b/>
                                  <w:sz w:val="22"/>
                                </w:rPr>
                              </w:pPr>
                              <w:r>
                                <w:rPr>
                                  <w:b/>
                                  <w:w w:val="75"/>
                                  <w:sz w:val="22"/>
                                </w:rPr>
                                <w:t>Day-</w:t>
                              </w:r>
                              <w:r>
                                <w:rPr>
                                  <w:b/>
                                  <w:spacing w:val="-10"/>
                                  <w:w w:val="85"/>
                                  <w:sz w:val="22"/>
                                </w:rPr>
                                <w:t>1</w:t>
                              </w:r>
                            </w:p>
                            <w:p>
                              <w:pPr>
                                <w:spacing w:before="98"/>
                                <w:ind w:left="386" w:right="0" w:firstLine="0"/>
                                <w:jc w:val="left"/>
                                <w:rPr>
                                  <w:b/>
                                  <w:sz w:val="22"/>
                                </w:rPr>
                              </w:pPr>
                              <w:r>
                                <w:rPr>
                                  <w:b/>
                                  <w:w w:val="75"/>
                                  <w:sz w:val="22"/>
                                </w:rPr>
                                <w:t>Day-</w:t>
                              </w:r>
                              <w:r>
                                <w:rPr>
                                  <w:b/>
                                  <w:spacing w:val="-10"/>
                                  <w:w w:val="85"/>
                                  <w:sz w:val="22"/>
                                </w:rPr>
                                <w:t>2</w:t>
                              </w:r>
                            </w:p>
                          </w:txbxContent>
                        </wps:txbx>
                        <wps:bodyPr wrap="square" lIns="0" tIns="0" rIns="0" bIns="0" rtlCol="0">
                          <a:noAutofit/>
                        </wps:bodyPr>
                      </wps:wsp>
                    </wpg:wgp>
                  </a:graphicData>
                </a:graphic>
              </wp:anchor>
            </w:drawing>
          </mc:Choice>
          <mc:Fallback>
            <w:pict>
              <v:group style="position:absolute;margin-left:376.665009pt;margin-top:5.16pt;width:51.9pt;height:35.25pt;mso-position-horizontal-relative:page;mso-position-vertical-relative:paragraph;z-index:15737344" id="docshapegroup78" coordorigin="7533,103" coordsize="1038,705">
                <v:rect style="position:absolute;left:7779;top:221;width:105;height:137" id="docshape79" filled="true" fillcolor="#9999ff" stroked="false">
                  <v:fill type="solid"/>
                </v:rect>
                <v:rect style="position:absolute;left:7779;top:221;width:105;height:137" id="docshape80" filled="false" stroked="true" strokeweight=".66452pt" strokecolor="#000000">
                  <v:stroke dashstyle="solid"/>
                </v:rect>
                <v:rect style="position:absolute;left:7779;top:570;width:105;height:137" id="docshape81" filled="true" fillcolor="#ffff00" stroked="false">
                  <v:fill type="solid"/>
                </v:rect>
                <v:rect style="position:absolute;left:7779;top:570;width:105;height:137" id="docshape82" filled="false" stroked="true" strokeweight=".66452pt" strokecolor="#000000">
                  <v:stroke dashstyle="solid"/>
                </v:rect>
                <v:shape style="position:absolute;left:7535;top:105;width:1033;height:701" type="#_x0000_t202" id="docshape83" filled="false" stroked="true" strokeweight=".24pt" strokecolor="#000000">
                  <v:textbox inset="0,0,0,0">
                    <w:txbxContent>
                      <w:p>
                        <w:pPr>
                          <w:spacing w:before="58"/>
                          <w:ind w:left="386" w:right="0" w:firstLine="0"/>
                          <w:jc w:val="left"/>
                          <w:rPr>
                            <w:b/>
                            <w:sz w:val="22"/>
                          </w:rPr>
                        </w:pPr>
                        <w:r>
                          <w:rPr>
                            <w:b/>
                            <w:w w:val="75"/>
                            <w:sz w:val="22"/>
                          </w:rPr>
                          <w:t>Day-</w:t>
                        </w:r>
                        <w:r>
                          <w:rPr>
                            <w:b/>
                            <w:spacing w:val="-10"/>
                            <w:w w:val="85"/>
                            <w:sz w:val="22"/>
                          </w:rPr>
                          <w:t>1</w:t>
                        </w:r>
                      </w:p>
                      <w:p>
                        <w:pPr>
                          <w:spacing w:before="98"/>
                          <w:ind w:left="386" w:right="0" w:firstLine="0"/>
                          <w:jc w:val="left"/>
                          <w:rPr>
                            <w:b/>
                            <w:sz w:val="22"/>
                          </w:rPr>
                        </w:pPr>
                        <w:r>
                          <w:rPr>
                            <w:b/>
                            <w:w w:val="75"/>
                            <w:sz w:val="22"/>
                          </w:rPr>
                          <w:t>Day-</w:t>
                        </w:r>
                        <w:r>
                          <w:rPr>
                            <w:b/>
                            <w:spacing w:val="-10"/>
                            <w:w w:val="85"/>
                            <w:sz w:val="22"/>
                          </w:rPr>
                          <w:t>2</w:t>
                        </w:r>
                      </w:p>
                    </w:txbxContent>
                  </v:textbox>
                  <v:stroke dashstyle="solid"/>
                  <w10:wrap type="none"/>
                </v:shape>
                <w10:wrap type="none"/>
              </v:group>
            </w:pict>
          </mc:Fallback>
        </mc:AlternateContent>
      </w:r>
      <w:r>
        <w:rPr>
          <w:b/>
          <w:spacing w:val="-5"/>
          <w:w w:val="85"/>
          <w:sz w:val="22"/>
        </w:rPr>
        <w:t>40</w:t>
      </w:r>
    </w:p>
    <w:p>
      <w:pPr>
        <w:pStyle w:val="BodyText"/>
        <w:rPr>
          <w:b/>
        </w:rPr>
      </w:pPr>
    </w:p>
    <w:p>
      <w:pPr>
        <w:pStyle w:val="BodyText"/>
        <w:spacing w:before="33"/>
        <w:rPr>
          <w:b/>
        </w:rPr>
      </w:pPr>
    </w:p>
    <w:p>
      <w:pPr>
        <w:spacing w:before="0"/>
        <w:ind w:left="1140" w:right="0" w:firstLine="0"/>
        <w:jc w:val="left"/>
        <w:rPr>
          <w:b/>
          <w:sz w:val="22"/>
        </w:rPr>
      </w:pPr>
      <w:r>
        <w:rPr>
          <w:b/>
          <w:spacing w:val="-5"/>
          <w:w w:val="85"/>
          <w:sz w:val="22"/>
        </w:rPr>
        <w:t>35</w:t>
      </w:r>
    </w:p>
    <w:p>
      <w:pPr>
        <w:pStyle w:val="BodyText"/>
        <w:rPr>
          <w:b/>
        </w:rPr>
      </w:pPr>
    </w:p>
    <w:p>
      <w:pPr>
        <w:pStyle w:val="BodyText"/>
        <w:spacing w:before="33"/>
        <w:rPr>
          <w:b/>
        </w:rPr>
      </w:pPr>
    </w:p>
    <w:p>
      <w:pPr>
        <w:spacing w:before="0"/>
        <w:ind w:left="1140" w:right="0" w:firstLine="0"/>
        <w:jc w:val="left"/>
        <w:rPr>
          <w:b/>
          <w:sz w:val="22"/>
        </w:rPr>
      </w:pPr>
      <w:r>
        <w:rPr>
          <w:b/>
          <w:spacing w:val="-5"/>
          <w:w w:val="85"/>
          <w:sz w:val="22"/>
        </w:rPr>
        <w:t>30</w:t>
      </w:r>
    </w:p>
    <w:p>
      <w:pPr>
        <w:pStyle w:val="BodyText"/>
        <w:rPr>
          <w:b/>
        </w:rPr>
      </w:pPr>
    </w:p>
    <w:p>
      <w:pPr>
        <w:pStyle w:val="BodyText"/>
        <w:spacing w:before="28"/>
        <w:rPr>
          <w:b/>
        </w:rPr>
      </w:pPr>
    </w:p>
    <w:p>
      <w:pPr>
        <w:spacing w:before="1"/>
        <w:ind w:left="1140" w:right="0" w:firstLine="0"/>
        <w:jc w:val="left"/>
        <w:rPr>
          <w:b/>
          <w:sz w:val="22"/>
        </w:rPr>
      </w:pPr>
      <w:r>
        <w:rPr/>
        <mc:AlternateContent>
          <mc:Choice Requires="wps">
            <w:drawing>
              <wp:anchor distT="0" distB="0" distL="0" distR="0" allowOverlap="1" layoutInCell="1" locked="0" behindDoc="0" simplePos="0" relativeHeight="15737856">
                <wp:simplePos x="0" y="0"/>
                <wp:positionH relativeFrom="page">
                  <wp:posOffset>1623761</wp:posOffset>
                </wp:positionH>
                <wp:positionV relativeFrom="paragraph">
                  <wp:posOffset>-334579</wp:posOffset>
                </wp:positionV>
                <wp:extent cx="200660" cy="1852930"/>
                <wp:effectExtent l="0" t="0" r="0" b="0"/>
                <wp:wrapNone/>
                <wp:docPr id="93" name="Textbox 93"/>
                <wp:cNvGraphicFramePr>
                  <a:graphicFrameLocks/>
                </wp:cNvGraphicFramePr>
                <a:graphic>
                  <a:graphicData uri="http://schemas.microsoft.com/office/word/2010/wordprocessingShape">
                    <wps:wsp>
                      <wps:cNvPr id="93" name="Textbox 93"/>
                      <wps:cNvSpPr txBox="1"/>
                      <wps:spPr>
                        <a:xfrm>
                          <a:off x="0" y="0"/>
                          <a:ext cx="200660" cy="1852930"/>
                        </a:xfrm>
                        <a:prstGeom prst="rect">
                          <a:avLst/>
                        </a:prstGeom>
                      </wps:spPr>
                      <wps:txbx>
                        <w:txbxContent>
                          <w:p>
                            <w:pPr>
                              <w:spacing w:before="8"/>
                              <w:ind w:left="20" w:right="0" w:firstLine="0"/>
                              <w:jc w:val="left"/>
                              <w:rPr>
                                <w:b/>
                                <w:sz w:val="25"/>
                              </w:rPr>
                            </w:pPr>
                            <w:r>
                              <w:rPr>
                                <w:b/>
                                <w:w w:val="75"/>
                                <w:sz w:val="25"/>
                              </w:rPr>
                              <w:t>T</w:t>
                            </w:r>
                            <w:r>
                              <w:rPr>
                                <w:b/>
                                <w:spacing w:val="-4"/>
                                <w:w w:val="75"/>
                                <w:sz w:val="25"/>
                              </w:rPr>
                              <w:t> </w:t>
                            </w:r>
                            <w:r>
                              <w:rPr>
                                <w:b/>
                                <w:w w:val="75"/>
                                <w:sz w:val="25"/>
                              </w:rPr>
                              <w:t>r</w:t>
                            </w:r>
                            <w:r>
                              <w:rPr>
                                <w:b/>
                                <w:spacing w:val="-19"/>
                                <w:w w:val="75"/>
                                <w:sz w:val="25"/>
                              </w:rPr>
                              <w:t> </w:t>
                            </w:r>
                            <w:r>
                              <w:rPr>
                                <w:b/>
                                <w:w w:val="75"/>
                                <w:sz w:val="25"/>
                              </w:rPr>
                              <w:t>a</w:t>
                            </w:r>
                            <w:r>
                              <w:rPr>
                                <w:b/>
                                <w:spacing w:val="-16"/>
                                <w:w w:val="75"/>
                                <w:sz w:val="25"/>
                              </w:rPr>
                              <w:t> </w:t>
                            </w:r>
                            <w:r>
                              <w:rPr>
                                <w:b/>
                                <w:w w:val="75"/>
                                <w:sz w:val="25"/>
                              </w:rPr>
                              <w:t>n</w:t>
                            </w:r>
                            <w:r>
                              <w:rPr>
                                <w:b/>
                                <w:spacing w:val="-17"/>
                                <w:w w:val="75"/>
                                <w:sz w:val="25"/>
                              </w:rPr>
                              <w:t> </w:t>
                            </w:r>
                            <w:r>
                              <w:rPr>
                                <w:b/>
                                <w:w w:val="75"/>
                                <w:sz w:val="25"/>
                              </w:rPr>
                              <w:t>s</w:t>
                            </w:r>
                            <w:r>
                              <w:rPr>
                                <w:b/>
                                <w:spacing w:val="-19"/>
                                <w:w w:val="75"/>
                                <w:sz w:val="25"/>
                              </w:rPr>
                              <w:t> </w:t>
                            </w:r>
                            <w:r>
                              <w:rPr>
                                <w:b/>
                                <w:w w:val="75"/>
                                <w:sz w:val="25"/>
                              </w:rPr>
                              <w:t>fe</w:t>
                            </w:r>
                            <w:r>
                              <w:rPr>
                                <w:b/>
                                <w:spacing w:val="-20"/>
                                <w:w w:val="75"/>
                                <w:sz w:val="25"/>
                              </w:rPr>
                              <w:t> </w:t>
                            </w:r>
                            <w:r>
                              <w:rPr>
                                <w:b/>
                                <w:w w:val="75"/>
                                <w:sz w:val="25"/>
                              </w:rPr>
                              <w:t>r</w:t>
                            </w:r>
                            <w:r>
                              <w:rPr>
                                <w:b/>
                                <w:spacing w:val="31"/>
                                <w:sz w:val="25"/>
                              </w:rPr>
                              <w:t> </w:t>
                            </w:r>
                            <w:r>
                              <w:rPr>
                                <w:b/>
                                <w:w w:val="75"/>
                                <w:sz w:val="25"/>
                              </w:rPr>
                              <w:t>L</w:t>
                            </w:r>
                            <w:r>
                              <w:rPr>
                                <w:b/>
                                <w:spacing w:val="-8"/>
                                <w:w w:val="75"/>
                                <w:sz w:val="25"/>
                              </w:rPr>
                              <w:t> </w:t>
                            </w:r>
                            <w:r>
                              <w:rPr>
                                <w:b/>
                                <w:w w:val="75"/>
                                <w:sz w:val="25"/>
                              </w:rPr>
                              <w:t>a</w:t>
                            </w:r>
                            <w:r>
                              <w:rPr>
                                <w:b/>
                                <w:spacing w:val="-16"/>
                                <w:w w:val="75"/>
                                <w:sz w:val="25"/>
                              </w:rPr>
                              <w:t> </w:t>
                            </w:r>
                            <w:r>
                              <w:rPr>
                                <w:b/>
                                <w:w w:val="75"/>
                                <w:sz w:val="25"/>
                              </w:rPr>
                              <w:t>te</w:t>
                            </w:r>
                            <w:r>
                              <w:rPr>
                                <w:b/>
                                <w:spacing w:val="-20"/>
                                <w:w w:val="75"/>
                                <w:sz w:val="25"/>
                              </w:rPr>
                              <w:t> </w:t>
                            </w:r>
                            <w:r>
                              <w:rPr>
                                <w:b/>
                                <w:w w:val="75"/>
                                <w:sz w:val="25"/>
                              </w:rPr>
                              <w:t>n</w:t>
                            </w:r>
                            <w:r>
                              <w:rPr>
                                <w:b/>
                                <w:spacing w:val="-11"/>
                                <w:w w:val="75"/>
                                <w:sz w:val="25"/>
                              </w:rPr>
                              <w:t> </w:t>
                            </w:r>
                            <w:r>
                              <w:rPr>
                                <w:b/>
                                <w:w w:val="75"/>
                                <w:sz w:val="25"/>
                              </w:rPr>
                              <w:t>c</w:t>
                            </w:r>
                            <w:r>
                              <w:rPr>
                                <w:b/>
                                <w:spacing w:val="-20"/>
                                <w:w w:val="75"/>
                                <w:sz w:val="25"/>
                              </w:rPr>
                              <w:t> </w:t>
                            </w:r>
                            <w:r>
                              <w:rPr>
                                <w:b/>
                                <w:w w:val="75"/>
                                <w:sz w:val="25"/>
                              </w:rPr>
                              <w:t>y</w:t>
                            </w:r>
                            <w:r>
                              <w:rPr>
                                <w:b/>
                                <w:spacing w:val="34"/>
                                <w:sz w:val="25"/>
                              </w:rPr>
                              <w:t> </w:t>
                            </w:r>
                            <w:r>
                              <w:rPr>
                                <w:b/>
                                <w:spacing w:val="13"/>
                                <w:w w:val="75"/>
                                <w:sz w:val="25"/>
                              </w:rPr>
                              <w:t>(se</w:t>
                            </w:r>
                            <w:r>
                              <w:rPr>
                                <w:b/>
                                <w:spacing w:val="-20"/>
                                <w:w w:val="75"/>
                                <w:sz w:val="25"/>
                              </w:rPr>
                              <w:t> </w:t>
                            </w:r>
                            <w:r>
                              <w:rPr>
                                <w:b/>
                                <w:w w:val="75"/>
                                <w:sz w:val="25"/>
                              </w:rPr>
                              <w:t>c</w:t>
                            </w:r>
                            <w:r>
                              <w:rPr>
                                <w:b/>
                                <w:spacing w:val="-20"/>
                                <w:w w:val="75"/>
                                <w:sz w:val="25"/>
                              </w:rPr>
                              <w:t> </w:t>
                            </w:r>
                            <w:r>
                              <w:rPr>
                                <w:b/>
                                <w:w w:val="75"/>
                                <w:sz w:val="25"/>
                              </w:rPr>
                              <w:t>o</w:t>
                            </w:r>
                            <w:r>
                              <w:rPr>
                                <w:b/>
                                <w:spacing w:val="-16"/>
                                <w:w w:val="75"/>
                                <w:sz w:val="25"/>
                              </w:rPr>
                              <w:t> </w:t>
                            </w:r>
                            <w:r>
                              <w:rPr>
                                <w:b/>
                                <w:w w:val="75"/>
                                <w:sz w:val="25"/>
                              </w:rPr>
                              <w:t>n</w:t>
                            </w:r>
                            <w:r>
                              <w:rPr>
                                <w:b/>
                                <w:spacing w:val="-11"/>
                                <w:w w:val="75"/>
                                <w:sz w:val="25"/>
                              </w:rPr>
                              <w:t> </w:t>
                            </w:r>
                            <w:r>
                              <w:rPr>
                                <w:b/>
                                <w:w w:val="75"/>
                                <w:sz w:val="25"/>
                              </w:rPr>
                              <w:t>d</w:t>
                            </w:r>
                            <w:r>
                              <w:rPr>
                                <w:b/>
                                <w:spacing w:val="-11"/>
                                <w:w w:val="75"/>
                                <w:sz w:val="25"/>
                              </w:rPr>
                              <w:t> </w:t>
                            </w:r>
                            <w:r>
                              <w:rPr>
                                <w:b/>
                                <w:spacing w:val="6"/>
                                <w:w w:val="75"/>
                                <w:sz w:val="25"/>
                              </w:rPr>
                              <w:t>s)</w:t>
                            </w:r>
                          </w:p>
                        </w:txbxContent>
                      </wps:txbx>
                      <wps:bodyPr wrap="square" lIns="0" tIns="0" rIns="0" bIns="0" rtlCol="0" vert="vert270">
                        <a:noAutofit/>
                      </wps:bodyPr>
                    </wps:wsp>
                  </a:graphicData>
                </a:graphic>
              </wp:anchor>
            </w:drawing>
          </mc:Choice>
          <mc:Fallback>
            <w:pict>
              <v:shape style="position:absolute;margin-left:127.855247pt;margin-top:-26.344849pt;width:15.8pt;height:145.9pt;mso-position-horizontal-relative:page;mso-position-vertical-relative:paragraph;z-index:15737856" type="#_x0000_t202" id="docshape84" filled="false" stroked="false">
                <v:textbox inset="0,0,0,0" style="layout-flow:vertical;mso-layout-flow-alt:bottom-to-top">
                  <w:txbxContent>
                    <w:p>
                      <w:pPr>
                        <w:spacing w:before="8"/>
                        <w:ind w:left="20" w:right="0" w:firstLine="0"/>
                        <w:jc w:val="left"/>
                        <w:rPr>
                          <w:b/>
                          <w:sz w:val="25"/>
                        </w:rPr>
                      </w:pPr>
                      <w:r>
                        <w:rPr>
                          <w:b/>
                          <w:w w:val="75"/>
                          <w:sz w:val="25"/>
                        </w:rPr>
                        <w:t>T</w:t>
                      </w:r>
                      <w:r>
                        <w:rPr>
                          <w:b/>
                          <w:spacing w:val="-4"/>
                          <w:w w:val="75"/>
                          <w:sz w:val="25"/>
                        </w:rPr>
                        <w:t> </w:t>
                      </w:r>
                      <w:r>
                        <w:rPr>
                          <w:b/>
                          <w:w w:val="75"/>
                          <w:sz w:val="25"/>
                        </w:rPr>
                        <w:t>r</w:t>
                      </w:r>
                      <w:r>
                        <w:rPr>
                          <w:b/>
                          <w:spacing w:val="-19"/>
                          <w:w w:val="75"/>
                          <w:sz w:val="25"/>
                        </w:rPr>
                        <w:t> </w:t>
                      </w:r>
                      <w:r>
                        <w:rPr>
                          <w:b/>
                          <w:w w:val="75"/>
                          <w:sz w:val="25"/>
                        </w:rPr>
                        <w:t>a</w:t>
                      </w:r>
                      <w:r>
                        <w:rPr>
                          <w:b/>
                          <w:spacing w:val="-16"/>
                          <w:w w:val="75"/>
                          <w:sz w:val="25"/>
                        </w:rPr>
                        <w:t> </w:t>
                      </w:r>
                      <w:r>
                        <w:rPr>
                          <w:b/>
                          <w:w w:val="75"/>
                          <w:sz w:val="25"/>
                        </w:rPr>
                        <w:t>n</w:t>
                      </w:r>
                      <w:r>
                        <w:rPr>
                          <w:b/>
                          <w:spacing w:val="-17"/>
                          <w:w w:val="75"/>
                          <w:sz w:val="25"/>
                        </w:rPr>
                        <w:t> </w:t>
                      </w:r>
                      <w:r>
                        <w:rPr>
                          <w:b/>
                          <w:w w:val="75"/>
                          <w:sz w:val="25"/>
                        </w:rPr>
                        <w:t>s</w:t>
                      </w:r>
                      <w:r>
                        <w:rPr>
                          <w:b/>
                          <w:spacing w:val="-19"/>
                          <w:w w:val="75"/>
                          <w:sz w:val="25"/>
                        </w:rPr>
                        <w:t> </w:t>
                      </w:r>
                      <w:r>
                        <w:rPr>
                          <w:b/>
                          <w:w w:val="75"/>
                          <w:sz w:val="25"/>
                        </w:rPr>
                        <w:t>fe</w:t>
                      </w:r>
                      <w:r>
                        <w:rPr>
                          <w:b/>
                          <w:spacing w:val="-20"/>
                          <w:w w:val="75"/>
                          <w:sz w:val="25"/>
                        </w:rPr>
                        <w:t> </w:t>
                      </w:r>
                      <w:r>
                        <w:rPr>
                          <w:b/>
                          <w:w w:val="75"/>
                          <w:sz w:val="25"/>
                        </w:rPr>
                        <w:t>r</w:t>
                      </w:r>
                      <w:r>
                        <w:rPr>
                          <w:b/>
                          <w:spacing w:val="31"/>
                          <w:sz w:val="25"/>
                        </w:rPr>
                        <w:t> </w:t>
                      </w:r>
                      <w:r>
                        <w:rPr>
                          <w:b/>
                          <w:w w:val="75"/>
                          <w:sz w:val="25"/>
                        </w:rPr>
                        <w:t>L</w:t>
                      </w:r>
                      <w:r>
                        <w:rPr>
                          <w:b/>
                          <w:spacing w:val="-8"/>
                          <w:w w:val="75"/>
                          <w:sz w:val="25"/>
                        </w:rPr>
                        <w:t> </w:t>
                      </w:r>
                      <w:r>
                        <w:rPr>
                          <w:b/>
                          <w:w w:val="75"/>
                          <w:sz w:val="25"/>
                        </w:rPr>
                        <w:t>a</w:t>
                      </w:r>
                      <w:r>
                        <w:rPr>
                          <w:b/>
                          <w:spacing w:val="-16"/>
                          <w:w w:val="75"/>
                          <w:sz w:val="25"/>
                        </w:rPr>
                        <w:t> </w:t>
                      </w:r>
                      <w:r>
                        <w:rPr>
                          <w:b/>
                          <w:w w:val="75"/>
                          <w:sz w:val="25"/>
                        </w:rPr>
                        <w:t>te</w:t>
                      </w:r>
                      <w:r>
                        <w:rPr>
                          <w:b/>
                          <w:spacing w:val="-20"/>
                          <w:w w:val="75"/>
                          <w:sz w:val="25"/>
                        </w:rPr>
                        <w:t> </w:t>
                      </w:r>
                      <w:r>
                        <w:rPr>
                          <w:b/>
                          <w:w w:val="75"/>
                          <w:sz w:val="25"/>
                        </w:rPr>
                        <w:t>n</w:t>
                      </w:r>
                      <w:r>
                        <w:rPr>
                          <w:b/>
                          <w:spacing w:val="-11"/>
                          <w:w w:val="75"/>
                          <w:sz w:val="25"/>
                        </w:rPr>
                        <w:t> </w:t>
                      </w:r>
                      <w:r>
                        <w:rPr>
                          <w:b/>
                          <w:w w:val="75"/>
                          <w:sz w:val="25"/>
                        </w:rPr>
                        <w:t>c</w:t>
                      </w:r>
                      <w:r>
                        <w:rPr>
                          <w:b/>
                          <w:spacing w:val="-20"/>
                          <w:w w:val="75"/>
                          <w:sz w:val="25"/>
                        </w:rPr>
                        <w:t> </w:t>
                      </w:r>
                      <w:r>
                        <w:rPr>
                          <w:b/>
                          <w:w w:val="75"/>
                          <w:sz w:val="25"/>
                        </w:rPr>
                        <w:t>y</w:t>
                      </w:r>
                      <w:r>
                        <w:rPr>
                          <w:b/>
                          <w:spacing w:val="34"/>
                          <w:sz w:val="25"/>
                        </w:rPr>
                        <w:t> </w:t>
                      </w:r>
                      <w:r>
                        <w:rPr>
                          <w:b/>
                          <w:spacing w:val="13"/>
                          <w:w w:val="75"/>
                          <w:sz w:val="25"/>
                        </w:rPr>
                        <w:t>(se</w:t>
                      </w:r>
                      <w:r>
                        <w:rPr>
                          <w:b/>
                          <w:spacing w:val="-20"/>
                          <w:w w:val="75"/>
                          <w:sz w:val="25"/>
                        </w:rPr>
                        <w:t> </w:t>
                      </w:r>
                      <w:r>
                        <w:rPr>
                          <w:b/>
                          <w:w w:val="75"/>
                          <w:sz w:val="25"/>
                        </w:rPr>
                        <w:t>c</w:t>
                      </w:r>
                      <w:r>
                        <w:rPr>
                          <w:b/>
                          <w:spacing w:val="-20"/>
                          <w:w w:val="75"/>
                          <w:sz w:val="25"/>
                        </w:rPr>
                        <w:t> </w:t>
                      </w:r>
                      <w:r>
                        <w:rPr>
                          <w:b/>
                          <w:w w:val="75"/>
                          <w:sz w:val="25"/>
                        </w:rPr>
                        <w:t>o</w:t>
                      </w:r>
                      <w:r>
                        <w:rPr>
                          <w:b/>
                          <w:spacing w:val="-16"/>
                          <w:w w:val="75"/>
                          <w:sz w:val="25"/>
                        </w:rPr>
                        <w:t> </w:t>
                      </w:r>
                      <w:r>
                        <w:rPr>
                          <w:b/>
                          <w:w w:val="75"/>
                          <w:sz w:val="25"/>
                        </w:rPr>
                        <w:t>n</w:t>
                      </w:r>
                      <w:r>
                        <w:rPr>
                          <w:b/>
                          <w:spacing w:val="-11"/>
                          <w:w w:val="75"/>
                          <w:sz w:val="25"/>
                        </w:rPr>
                        <w:t> </w:t>
                      </w:r>
                      <w:r>
                        <w:rPr>
                          <w:b/>
                          <w:w w:val="75"/>
                          <w:sz w:val="25"/>
                        </w:rPr>
                        <w:t>d</w:t>
                      </w:r>
                      <w:r>
                        <w:rPr>
                          <w:b/>
                          <w:spacing w:val="-11"/>
                          <w:w w:val="75"/>
                          <w:sz w:val="25"/>
                        </w:rPr>
                        <w:t> </w:t>
                      </w:r>
                      <w:r>
                        <w:rPr>
                          <w:b/>
                          <w:spacing w:val="6"/>
                          <w:w w:val="75"/>
                          <w:sz w:val="25"/>
                        </w:rPr>
                        <w:t>s)</w:t>
                      </w:r>
                    </w:p>
                  </w:txbxContent>
                </v:textbox>
                <w10:wrap type="none"/>
              </v:shape>
            </w:pict>
          </mc:Fallback>
        </mc:AlternateContent>
      </w:r>
      <w:r>
        <w:rPr>
          <w:b/>
          <w:spacing w:val="-5"/>
          <w:w w:val="85"/>
          <w:sz w:val="22"/>
        </w:rPr>
        <w:t>25</w:t>
      </w:r>
    </w:p>
    <w:p>
      <w:pPr>
        <w:pStyle w:val="BodyText"/>
        <w:rPr>
          <w:b/>
        </w:rPr>
      </w:pPr>
    </w:p>
    <w:p>
      <w:pPr>
        <w:pStyle w:val="BodyText"/>
        <w:spacing w:before="32"/>
        <w:rPr>
          <w:b/>
        </w:rPr>
      </w:pPr>
    </w:p>
    <w:p>
      <w:pPr>
        <w:spacing w:before="1"/>
        <w:ind w:left="1140" w:right="0" w:firstLine="0"/>
        <w:jc w:val="left"/>
        <w:rPr>
          <w:b/>
          <w:sz w:val="22"/>
        </w:rPr>
      </w:pPr>
      <w:r>
        <w:rPr>
          <w:b/>
          <w:spacing w:val="-5"/>
          <w:w w:val="85"/>
          <w:sz w:val="22"/>
        </w:rPr>
        <w:t>20</w:t>
      </w:r>
    </w:p>
    <w:p>
      <w:pPr>
        <w:pStyle w:val="BodyText"/>
        <w:rPr>
          <w:b/>
        </w:rPr>
      </w:pPr>
    </w:p>
    <w:p>
      <w:pPr>
        <w:pStyle w:val="BodyText"/>
        <w:spacing w:before="32"/>
        <w:rPr>
          <w:b/>
        </w:rPr>
      </w:pPr>
    </w:p>
    <w:p>
      <w:pPr>
        <w:spacing w:before="1"/>
        <w:ind w:left="1140" w:right="0" w:firstLine="0"/>
        <w:jc w:val="left"/>
        <w:rPr>
          <w:b/>
          <w:sz w:val="22"/>
        </w:rPr>
      </w:pPr>
      <w:r>
        <w:rPr>
          <w:b/>
          <w:spacing w:val="-5"/>
          <w:w w:val="85"/>
          <w:sz w:val="22"/>
        </w:rPr>
        <w:t>15</w:t>
      </w:r>
    </w:p>
    <w:p>
      <w:pPr>
        <w:pStyle w:val="BodyText"/>
        <w:rPr>
          <w:b/>
        </w:rPr>
      </w:pPr>
    </w:p>
    <w:p>
      <w:pPr>
        <w:pStyle w:val="BodyText"/>
        <w:spacing w:before="33"/>
        <w:rPr>
          <w:b/>
        </w:rPr>
      </w:pPr>
    </w:p>
    <w:p>
      <w:pPr>
        <w:spacing w:before="0"/>
        <w:ind w:left="1140" w:right="0" w:firstLine="0"/>
        <w:jc w:val="left"/>
        <w:rPr>
          <w:b/>
          <w:sz w:val="22"/>
        </w:rPr>
      </w:pPr>
      <w:r>
        <w:rPr>
          <w:b/>
          <w:spacing w:val="-5"/>
          <w:w w:val="85"/>
          <w:sz w:val="22"/>
        </w:rPr>
        <w:t>10</w:t>
      </w:r>
    </w:p>
    <w:p>
      <w:pPr>
        <w:pStyle w:val="BodyText"/>
        <w:rPr>
          <w:b/>
        </w:rPr>
      </w:pPr>
    </w:p>
    <w:p>
      <w:pPr>
        <w:pStyle w:val="BodyText"/>
        <w:spacing w:before="33"/>
        <w:rPr>
          <w:b/>
        </w:rPr>
      </w:pPr>
    </w:p>
    <w:p>
      <w:pPr>
        <w:spacing w:before="0"/>
        <w:ind w:left="1227" w:right="0" w:firstLine="0"/>
        <w:jc w:val="left"/>
        <w:rPr>
          <w:b/>
          <w:sz w:val="22"/>
        </w:rPr>
      </w:pPr>
      <w:r>
        <w:rPr>
          <w:b/>
          <w:spacing w:val="-10"/>
          <w:w w:val="85"/>
          <w:sz w:val="22"/>
        </w:rPr>
        <w:t>5</w:t>
      </w:r>
    </w:p>
    <w:p>
      <w:pPr>
        <w:pStyle w:val="BodyText"/>
        <w:rPr>
          <w:b/>
        </w:rPr>
      </w:pPr>
    </w:p>
    <w:p>
      <w:pPr>
        <w:pStyle w:val="BodyText"/>
        <w:spacing w:before="33"/>
        <w:rPr>
          <w:b/>
        </w:rPr>
      </w:pPr>
    </w:p>
    <w:p>
      <w:pPr>
        <w:spacing w:before="0"/>
        <w:ind w:left="1227" w:right="0" w:firstLine="0"/>
        <w:jc w:val="left"/>
        <w:rPr>
          <w:b/>
          <w:sz w:val="22"/>
        </w:rPr>
      </w:pPr>
      <w:r>
        <w:rPr>
          <w:b/>
          <w:spacing w:val="-10"/>
          <w:w w:val="85"/>
          <w:sz w:val="22"/>
        </w:rPr>
        <w:t>0</w:t>
      </w:r>
    </w:p>
    <w:p>
      <w:pPr>
        <w:tabs>
          <w:tab w:pos="4894" w:val="left" w:leader="none"/>
          <w:tab w:pos="7318" w:val="left" w:leader="none"/>
        </w:tabs>
        <w:spacing w:before="68"/>
        <w:ind w:left="2283" w:right="0" w:firstLine="0"/>
        <w:jc w:val="left"/>
        <w:rPr>
          <w:b/>
          <w:sz w:val="22"/>
        </w:rPr>
      </w:pPr>
      <w:r>
        <w:rPr>
          <w:b/>
          <w:spacing w:val="-2"/>
          <w:w w:val="75"/>
          <w:sz w:val="22"/>
        </w:rPr>
        <w:t>30</w:t>
      </w:r>
      <w:r>
        <w:rPr>
          <w:b/>
          <w:spacing w:val="-4"/>
          <w:w w:val="85"/>
          <w:sz w:val="22"/>
        </w:rPr>
        <w:t> </w:t>
      </w:r>
      <w:r>
        <w:rPr>
          <w:b/>
          <w:spacing w:val="-2"/>
          <w:w w:val="85"/>
          <w:sz w:val="22"/>
        </w:rPr>
        <w:t>minutes</w:t>
      </w:r>
      <w:r>
        <w:rPr>
          <w:b/>
          <w:sz w:val="22"/>
        </w:rPr>
        <w:tab/>
      </w:r>
      <w:r>
        <w:rPr>
          <w:b/>
          <w:w w:val="75"/>
          <w:sz w:val="22"/>
        </w:rPr>
        <w:t>1</w:t>
      </w:r>
      <w:r>
        <w:rPr>
          <w:b/>
          <w:spacing w:val="-1"/>
          <w:w w:val="75"/>
          <w:sz w:val="22"/>
        </w:rPr>
        <w:t> </w:t>
      </w:r>
      <w:r>
        <w:rPr>
          <w:b/>
          <w:spacing w:val="-4"/>
          <w:w w:val="85"/>
          <w:sz w:val="22"/>
        </w:rPr>
        <w:t>hour</w:t>
      </w:r>
      <w:r>
        <w:rPr>
          <w:b/>
          <w:sz w:val="22"/>
        </w:rPr>
        <w:tab/>
      </w:r>
      <w:r>
        <w:rPr>
          <w:b/>
          <w:w w:val="75"/>
          <w:sz w:val="22"/>
        </w:rPr>
        <w:t>2</w:t>
      </w:r>
      <w:r>
        <w:rPr>
          <w:b/>
          <w:spacing w:val="-1"/>
          <w:w w:val="85"/>
          <w:sz w:val="22"/>
        </w:rPr>
        <w:t> </w:t>
      </w:r>
      <w:r>
        <w:rPr>
          <w:b/>
          <w:spacing w:val="-2"/>
          <w:w w:val="85"/>
          <w:sz w:val="22"/>
        </w:rPr>
        <w:t>hours</w:t>
      </w:r>
    </w:p>
    <w:p>
      <w:pPr>
        <w:pStyle w:val="BodyText"/>
        <w:rPr>
          <w:b/>
        </w:rPr>
      </w:pPr>
    </w:p>
    <w:p>
      <w:pPr>
        <w:pStyle w:val="BodyText"/>
        <w:spacing w:before="5"/>
        <w:rPr>
          <w:b/>
        </w:rPr>
      </w:pPr>
    </w:p>
    <w:p>
      <w:pPr>
        <w:spacing w:before="0"/>
        <w:ind w:left="766" w:right="0" w:firstLine="0"/>
        <w:jc w:val="left"/>
        <w:rPr>
          <w:b/>
          <w:sz w:val="22"/>
        </w:rPr>
      </w:pPr>
      <w:r>
        <w:rPr>
          <w:b/>
          <w:sz w:val="22"/>
        </w:rPr>
        <w:t>Figure</w:t>
      </w:r>
      <w:r>
        <w:rPr>
          <w:b/>
          <w:spacing w:val="6"/>
          <w:sz w:val="22"/>
        </w:rPr>
        <w:t> </w:t>
      </w:r>
      <w:r>
        <w:rPr>
          <w:b/>
          <w:sz w:val="22"/>
        </w:rPr>
        <w:t>4.3:</w:t>
      </w:r>
      <w:r>
        <w:rPr>
          <w:b/>
          <w:spacing w:val="14"/>
          <w:sz w:val="22"/>
        </w:rPr>
        <w:t> </w:t>
      </w:r>
      <w:r>
        <w:rPr>
          <w:b/>
          <w:sz w:val="22"/>
        </w:rPr>
        <w:t>Transfer</w:t>
      </w:r>
      <w:r>
        <w:rPr>
          <w:b/>
          <w:spacing w:val="13"/>
          <w:sz w:val="22"/>
        </w:rPr>
        <w:t> </w:t>
      </w:r>
      <w:r>
        <w:rPr>
          <w:b/>
          <w:sz w:val="22"/>
        </w:rPr>
        <w:t>latencies</w:t>
      </w:r>
      <w:r>
        <w:rPr>
          <w:b/>
          <w:spacing w:val="5"/>
          <w:sz w:val="22"/>
        </w:rPr>
        <w:t> </w:t>
      </w:r>
      <w:r>
        <w:rPr>
          <w:b/>
          <w:sz w:val="22"/>
        </w:rPr>
        <w:t>of</w:t>
      </w:r>
      <w:r>
        <w:rPr>
          <w:b/>
          <w:spacing w:val="14"/>
          <w:sz w:val="22"/>
        </w:rPr>
        <w:t> </w:t>
      </w:r>
      <w:r>
        <w:rPr>
          <w:b/>
          <w:sz w:val="22"/>
        </w:rPr>
        <w:t>Day-1</w:t>
      </w:r>
      <w:r>
        <w:rPr>
          <w:b/>
          <w:spacing w:val="9"/>
          <w:sz w:val="22"/>
        </w:rPr>
        <w:t> </w:t>
      </w:r>
      <w:r>
        <w:rPr>
          <w:b/>
          <w:sz w:val="22"/>
        </w:rPr>
        <w:t>and</w:t>
      </w:r>
      <w:r>
        <w:rPr>
          <w:b/>
          <w:spacing w:val="12"/>
          <w:sz w:val="22"/>
        </w:rPr>
        <w:t> </w:t>
      </w:r>
      <w:r>
        <w:rPr>
          <w:b/>
          <w:sz w:val="22"/>
        </w:rPr>
        <w:t>Day-2</w:t>
      </w:r>
      <w:r>
        <w:rPr>
          <w:b/>
          <w:spacing w:val="15"/>
          <w:sz w:val="22"/>
        </w:rPr>
        <w:t> </w:t>
      </w:r>
      <w:r>
        <w:rPr>
          <w:b/>
          <w:sz w:val="22"/>
        </w:rPr>
        <w:t>tests</w:t>
      </w:r>
      <w:r>
        <w:rPr>
          <w:b/>
          <w:spacing w:val="5"/>
          <w:sz w:val="22"/>
        </w:rPr>
        <w:t> </w:t>
      </w:r>
      <w:r>
        <w:rPr>
          <w:b/>
          <w:sz w:val="22"/>
        </w:rPr>
        <w:t>of</w:t>
      </w:r>
      <w:r>
        <w:rPr>
          <w:b/>
          <w:spacing w:val="8"/>
          <w:sz w:val="22"/>
        </w:rPr>
        <w:t> </w:t>
      </w:r>
      <w:r>
        <w:rPr>
          <w:b/>
          <w:sz w:val="22"/>
        </w:rPr>
        <w:t>the</w:t>
      </w:r>
      <w:r>
        <w:rPr>
          <w:b/>
          <w:spacing w:val="7"/>
          <w:sz w:val="22"/>
        </w:rPr>
        <w:t> </w:t>
      </w:r>
      <w:r>
        <w:rPr>
          <w:b/>
          <w:sz w:val="22"/>
        </w:rPr>
        <w:t>Control</w:t>
      </w:r>
      <w:r>
        <w:rPr>
          <w:b/>
          <w:spacing w:val="5"/>
          <w:sz w:val="22"/>
        </w:rPr>
        <w:t> </w:t>
      </w:r>
      <w:r>
        <w:rPr>
          <w:b/>
          <w:spacing w:val="-2"/>
          <w:sz w:val="22"/>
        </w:rPr>
        <w:t>group.</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04"/>
        <w:rPr>
          <w:b/>
        </w:rPr>
      </w:pPr>
    </w:p>
    <w:p>
      <w:pPr>
        <w:pStyle w:val="ListParagraph"/>
        <w:numPr>
          <w:ilvl w:val="2"/>
          <w:numId w:val="24"/>
        </w:numPr>
        <w:tabs>
          <w:tab w:pos="1305" w:val="left" w:leader="none"/>
        </w:tabs>
        <w:spacing w:line="491" w:lineRule="auto" w:before="0" w:after="0"/>
        <w:ind w:left="766" w:right="669" w:firstLine="0"/>
        <w:jc w:val="left"/>
        <w:rPr>
          <w:b/>
          <w:sz w:val="22"/>
        </w:rPr>
      </w:pPr>
      <w:r>
        <w:rPr>
          <w:b/>
          <w:sz w:val="22"/>
        </w:rPr>
        <w:t>Effects</w:t>
      </w:r>
      <w:r>
        <w:rPr>
          <w:b/>
          <w:spacing w:val="35"/>
          <w:sz w:val="22"/>
        </w:rPr>
        <w:t> </w:t>
      </w:r>
      <w:r>
        <w:rPr>
          <w:b/>
          <w:sz w:val="22"/>
        </w:rPr>
        <w:t>of</w:t>
      </w:r>
      <w:r>
        <w:rPr>
          <w:b/>
          <w:spacing w:val="38"/>
          <w:sz w:val="22"/>
        </w:rPr>
        <w:t> </w:t>
      </w:r>
      <w:r>
        <w:rPr>
          <w:b/>
          <w:sz w:val="22"/>
        </w:rPr>
        <w:t>30</w:t>
      </w:r>
      <w:r>
        <w:rPr>
          <w:b/>
          <w:spacing w:val="40"/>
          <w:sz w:val="22"/>
        </w:rPr>
        <w:t> </w:t>
      </w:r>
      <w:r>
        <w:rPr>
          <w:b/>
          <w:sz w:val="22"/>
        </w:rPr>
        <w:t>minutes,</w:t>
      </w:r>
      <w:r>
        <w:rPr>
          <w:b/>
          <w:spacing w:val="37"/>
          <w:sz w:val="22"/>
        </w:rPr>
        <w:t> </w:t>
      </w:r>
      <w:r>
        <w:rPr>
          <w:b/>
          <w:sz w:val="22"/>
        </w:rPr>
        <w:t>1</w:t>
      </w:r>
      <w:r>
        <w:rPr>
          <w:b/>
          <w:spacing w:val="40"/>
          <w:sz w:val="22"/>
        </w:rPr>
        <w:t> </w:t>
      </w:r>
      <w:r>
        <w:rPr>
          <w:b/>
          <w:sz w:val="22"/>
        </w:rPr>
        <w:t>hour</w:t>
      </w:r>
      <w:r>
        <w:rPr>
          <w:b/>
          <w:spacing w:val="37"/>
          <w:sz w:val="22"/>
        </w:rPr>
        <w:t> </w:t>
      </w:r>
      <w:r>
        <w:rPr>
          <w:b/>
          <w:sz w:val="22"/>
        </w:rPr>
        <w:t>and</w:t>
      </w:r>
      <w:r>
        <w:rPr>
          <w:b/>
          <w:spacing w:val="30"/>
          <w:sz w:val="22"/>
        </w:rPr>
        <w:t> </w:t>
      </w:r>
      <w:r>
        <w:rPr>
          <w:b/>
          <w:sz w:val="22"/>
        </w:rPr>
        <w:t>2</w:t>
      </w:r>
      <w:r>
        <w:rPr>
          <w:b/>
          <w:spacing w:val="40"/>
          <w:sz w:val="22"/>
        </w:rPr>
        <w:t> </w:t>
      </w:r>
      <w:r>
        <w:rPr>
          <w:b/>
          <w:sz w:val="22"/>
        </w:rPr>
        <w:t>hours</w:t>
      </w:r>
      <w:r>
        <w:rPr>
          <w:b/>
          <w:spacing w:val="40"/>
          <w:sz w:val="22"/>
        </w:rPr>
        <w:t> </w:t>
      </w:r>
      <w:r>
        <w:rPr>
          <w:b/>
          <w:sz w:val="22"/>
        </w:rPr>
        <w:t>of</w:t>
      </w:r>
      <w:r>
        <w:rPr>
          <w:b/>
          <w:spacing w:val="40"/>
          <w:sz w:val="22"/>
        </w:rPr>
        <w:t> </w:t>
      </w:r>
      <w:r>
        <w:rPr>
          <w:b/>
          <w:sz w:val="22"/>
        </w:rPr>
        <w:t>Carbon</w:t>
      </w:r>
      <w:r>
        <w:rPr>
          <w:b/>
          <w:spacing w:val="40"/>
          <w:sz w:val="22"/>
        </w:rPr>
        <w:t> </w:t>
      </w:r>
      <w:r>
        <w:rPr>
          <w:b/>
          <w:sz w:val="22"/>
        </w:rPr>
        <w:t>monoxide</w:t>
      </w:r>
      <w:r>
        <w:rPr>
          <w:b/>
          <w:spacing w:val="40"/>
          <w:sz w:val="22"/>
        </w:rPr>
        <w:t> </w:t>
      </w:r>
      <w:r>
        <w:rPr>
          <w:b/>
          <w:sz w:val="22"/>
        </w:rPr>
        <w:t>exposure</w:t>
      </w:r>
      <w:r>
        <w:rPr>
          <w:b/>
          <w:spacing w:val="37"/>
          <w:sz w:val="22"/>
        </w:rPr>
        <w:t> </w:t>
      </w:r>
      <w:r>
        <w:rPr>
          <w:b/>
          <w:sz w:val="22"/>
        </w:rPr>
        <w:t>on </w:t>
      </w:r>
      <w:r>
        <w:rPr>
          <w:b/>
          <w:spacing w:val="-4"/>
          <w:sz w:val="22"/>
        </w:rPr>
        <w:t>mice</w:t>
      </w:r>
    </w:p>
    <w:p>
      <w:pPr>
        <w:pStyle w:val="BodyText"/>
        <w:spacing w:line="248" w:lineRule="exact"/>
        <w:ind w:left="766"/>
      </w:pPr>
      <w:r>
        <w:rPr/>
        <w:t>Figure</w:t>
      </w:r>
      <w:r>
        <w:rPr>
          <w:spacing w:val="17"/>
        </w:rPr>
        <w:t> </w:t>
      </w:r>
      <w:r>
        <w:rPr/>
        <w:t>4.4</w:t>
      </w:r>
      <w:r>
        <w:rPr>
          <w:spacing w:val="24"/>
        </w:rPr>
        <w:t> </w:t>
      </w:r>
      <w:r>
        <w:rPr/>
        <w:t>showed</w:t>
      </w:r>
      <w:r>
        <w:rPr>
          <w:spacing w:val="20"/>
        </w:rPr>
        <w:t> </w:t>
      </w:r>
      <w:r>
        <w:rPr/>
        <w:t>TLs</w:t>
      </w:r>
      <w:r>
        <w:rPr>
          <w:spacing w:val="15"/>
        </w:rPr>
        <w:t> </w:t>
      </w:r>
      <w:r>
        <w:rPr/>
        <w:t>in</w:t>
      </w:r>
      <w:r>
        <w:rPr>
          <w:spacing w:val="14"/>
        </w:rPr>
        <w:t> </w:t>
      </w:r>
      <w:r>
        <w:rPr/>
        <w:t>Day-1</w:t>
      </w:r>
      <w:r>
        <w:rPr>
          <w:spacing w:val="18"/>
        </w:rPr>
        <w:t> </w:t>
      </w:r>
      <w:r>
        <w:rPr/>
        <w:t>(acquisition/learning)</w:t>
      </w:r>
      <w:r>
        <w:rPr>
          <w:spacing w:val="19"/>
        </w:rPr>
        <w:t> </w:t>
      </w:r>
      <w:r>
        <w:rPr/>
        <w:t>and</w:t>
      </w:r>
      <w:r>
        <w:rPr>
          <w:spacing w:val="24"/>
        </w:rPr>
        <w:t> </w:t>
      </w:r>
      <w:r>
        <w:rPr/>
        <w:t>Day-2</w:t>
      </w:r>
      <w:r>
        <w:rPr>
          <w:spacing w:val="19"/>
        </w:rPr>
        <w:t> </w:t>
      </w:r>
      <w:r>
        <w:rPr/>
        <w:t>(recall/memory)</w:t>
      </w:r>
      <w:r>
        <w:rPr>
          <w:spacing w:val="18"/>
        </w:rPr>
        <w:t> </w:t>
      </w:r>
      <w:r>
        <w:rPr/>
        <w:t>of</w:t>
      </w:r>
      <w:r>
        <w:rPr>
          <w:spacing w:val="19"/>
        </w:rPr>
        <w:t> </w:t>
      </w:r>
      <w:r>
        <w:rPr>
          <w:spacing w:val="-5"/>
        </w:rPr>
        <w:t>the</w:t>
      </w:r>
    </w:p>
    <w:p>
      <w:pPr>
        <w:spacing w:after="0" w:line="248" w:lineRule="exact"/>
        <w:sectPr>
          <w:pgSz w:w="12240" w:h="15840"/>
          <w:pgMar w:header="0" w:footer="916" w:top="1380" w:bottom="1100" w:left="1720" w:right="960"/>
        </w:sectPr>
      </w:pPr>
    </w:p>
    <w:p>
      <w:pPr>
        <w:pStyle w:val="BodyText"/>
        <w:spacing w:line="491" w:lineRule="auto" w:before="75"/>
        <w:ind w:left="766" w:right="668"/>
        <w:jc w:val="both"/>
      </w:pPr>
      <w:r>
        <w:rPr/>
        <w:t>experimental group. Thirty minutes and 2</w:t>
      </w:r>
      <w:r>
        <w:rPr>
          <w:spacing w:val="37"/>
        </w:rPr>
        <w:t> </w:t>
      </w:r>
      <w:r>
        <w:rPr/>
        <w:t>hours of exposure recorded an increase</w:t>
      </w:r>
      <w:r>
        <w:rPr>
          <w:spacing w:val="35"/>
        </w:rPr>
        <w:t> </w:t>
      </w:r>
      <w:r>
        <w:rPr/>
        <w:t>in the TLs</w:t>
      </w:r>
      <w:r>
        <w:rPr>
          <w:spacing w:val="40"/>
        </w:rPr>
        <w:t> </w:t>
      </w:r>
      <w:r>
        <w:rPr/>
        <w:t>on</w:t>
      </w:r>
      <w:r>
        <w:rPr>
          <w:spacing w:val="40"/>
        </w:rPr>
        <w:t> </w:t>
      </w:r>
      <w:r>
        <w:rPr/>
        <w:t>the</w:t>
      </w:r>
      <w:r>
        <w:rPr>
          <w:spacing w:val="40"/>
        </w:rPr>
        <w:t> </w:t>
      </w:r>
      <w:r>
        <w:rPr/>
        <w:t>second</w:t>
      </w:r>
      <w:r>
        <w:rPr>
          <w:spacing w:val="40"/>
        </w:rPr>
        <w:t> </w:t>
      </w:r>
      <w:r>
        <w:rPr/>
        <w:t>day</w:t>
      </w:r>
      <w:r>
        <w:rPr>
          <w:spacing w:val="40"/>
        </w:rPr>
        <w:t> </w:t>
      </w:r>
      <w:r>
        <w:rPr/>
        <w:t>(48.4</w:t>
      </w:r>
      <w:r>
        <w:rPr>
          <w:spacing w:val="40"/>
        </w:rPr>
        <w:t> </w:t>
      </w:r>
      <w:r>
        <w:rPr/>
        <w:t>±</w:t>
      </w:r>
      <w:r>
        <w:rPr>
          <w:spacing w:val="40"/>
        </w:rPr>
        <w:t> </w:t>
      </w:r>
      <w:r>
        <w:rPr/>
        <w:t>12.8</w:t>
      </w:r>
      <w:r>
        <w:rPr>
          <w:spacing w:val="40"/>
        </w:rPr>
        <w:t> </w:t>
      </w:r>
      <w:r>
        <w:rPr/>
        <w:t>sec.</w:t>
      </w:r>
      <w:r>
        <w:rPr>
          <w:spacing w:val="40"/>
        </w:rPr>
        <w:t> </w:t>
      </w:r>
      <w:r>
        <w:rPr/>
        <w:t>and</w:t>
      </w:r>
      <w:r>
        <w:rPr>
          <w:spacing w:val="40"/>
        </w:rPr>
        <w:t> </w:t>
      </w:r>
      <w:r>
        <w:rPr/>
        <w:t>66.8</w:t>
      </w:r>
      <w:r>
        <w:rPr>
          <w:spacing w:val="40"/>
        </w:rPr>
        <w:t> </w:t>
      </w:r>
      <w:r>
        <w:rPr/>
        <w:t>±</w:t>
      </w:r>
      <w:r>
        <w:rPr>
          <w:spacing w:val="40"/>
        </w:rPr>
        <w:t> </w:t>
      </w:r>
      <w:r>
        <w:rPr/>
        <w:t>15.3</w:t>
      </w:r>
      <w:r>
        <w:rPr>
          <w:spacing w:val="40"/>
        </w:rPr>
        <w:t> </w:t>
      </w:r>
      <w:r>
        <w:rPr/>
        <w:t>sec.</w:t>
      </w:r>
      <w:r>
        <w:rPr>
          <w:spacing w:val="40"/>
        </w:rPr>
        <w:t> </w:t>
      </w:r>
      <w:r>
        <w:rPr/>
        <w:t>respectively)</w:t>
      </w:r>
      <w:r>
        <w:rPr>
          <w:spacing w:val="40"/>
        </w:rPr>
        <w:t> </w:t>
      </w:r>
      <w:r>
        <w:rPr/>
        <w:t>when compared</w:t>
      </w:r>
      <w:r>
        <w:rPr>
          <w:spacing w:val="15"/>
        </w:rPr>
        <w:t> </w:t>
      </w:r>
      <w:r>
        <w:rPr/>
        <w:t>to</w:t>
      </w:r>
      <w:r>
        <w:rPr>
          <w:spacing w:val="15"/>
        </w:rPr>
        <w:t> </w:t>
      </w:r>
      <w:r>
        <w:rPr/>
        <w:t>the</w:t>
      </w:r>
      <w:r>
        <w:rPr>
          <w:spacing w:val="14"/>
        </w:rPr>
        <w:t> </w:t>
      </w:r>
      <w:r>
        <w:rPr/>
        <w:t>first (13.4</w:t>
      </w:r>
      <w:r>
        <w:rPr>
          <w:spacing w:val="15"/>
        </w:rPr>
        <w:t> </w:t>
      </w:r>
      <w:r>
        <w:rPr/>
        <w:t>± 1.5</w:t>
      </w:r>
      <w:r>
        <w:rPr>
          <w:spacing w:val="22"/>
        </w:rPr>
        <w:t> </w:t>
      </w:r>
      <w:r>
        <w:rPr/>
        <w:t>sec.</w:t>
      </w:r>
      <w:r>
        <w:rPr>
          <w:spacing w:val="14"/>
        </w:rPr>
        <w:t> </w:t>
      </w:r>
      <w:r>
        <w:rPr/>
        <w:t>and 54 ± 15.1</w:t>
      </w:r>
      <w:r>
        <w:rPr>
          <w:spacing w:val="22"/>
        </w:rPr>
        <w:t> </w:t>
      </w:r>
      <w:r>
        <w:rPr/>
        <w:t>sec.).</w:t>
      </w:r>
      <w:r>
        <w:rPr>
          <w:spacing w:val="14"/>
        </w:rPr>
        <w:t> </w:t>
      </w:r>
      <w:r>
        <w:rPr/>
        <w:t>There</w:t>
      </w:r>
      <w:r>
        <w:rPr>
          <w:spacing w:val="14"/>
        </w:rPr>
        <w:t> </w:t>
      </w:r>
      <w:r>
        <w:rPr/>
        <w:t>was however</w:t>
      </w:r>
      <w:r>
        <w:rPr>
          <w:spacing w:val="15"/>
        </w:rPr>
        <w:t> </w:t>
      </w:r>
      <w:r>
        <w:rPr/>
        <w:t>a</w:t>
      </w:r>
      <w:r>
        <w:rPr>
          <w:spacing w:val="15"/>
        </w:rPr>
        <w:t> </w:t>
      </w:r>
      <w:r>
        <w:rPr/>
        <w:t>reduction in</w:t>
      </w:r>
      <w:r>
        <w:rPr>
          <w:spacing w:val="11"/>
        </w:rPr>
        <w:t> </w:t>
      </w:r>
      <w:r>
        <w:rPr/>
        <w:t>the</w:t>
      </w:r>
      <w:r>
        <w:rPr>
          <w:spacing w:val="14"/>
        </w:rPr>
        <w:t> </w:t>
      </w:r>
      <w:r>
        <w:rPr/>
        <w:t>TL</w:t>
      </w:r>
      <w:r>
        <w:rPr>
          <w:spacing w:val="14"/>
        </w:rPr>
        <w:t> </w:t>
      </w:r>
      <w:r>
        <w:rPr/>
        <w:t>during</w:t>
      </w:r>
      <w:r>
        <w:rPr>
          <w:spacing w:val="11"/>
        </w:rPr>
        <w:t> </w:t>
      </w:r>
      <w:r>
        <w:rPr/>
        <w:t>the</w:t>
      </w:r>
      <w:r>
        <w:rPr>
          <w:spacing w:val="14"/>
        </w:rPr>
        <w:t> </w:t>
      </w:r>
      <w:r>
        <w:rPr/>
        <w:t>1</w:t>
      </w:r>
      <w:r>
        <w:rPr>
          <w:spacing w:val="15"/>
        </w:rPr>
        <w:t> </w:t>
      </w:r>
      <w:r>
        <w:rPr/>
        <w:t>hour</w:t>
      </w:r>
      <w:r>
        <w:rPr>
          <w:spacing w:val="15"/>
        </w:rPr>
        <w:t> </w:t>
      </w:r>
      <w:r>
        <w:rPr/>
        <w:t>exposure</w:t>
      </w:r>
      <w:r>
        <w:rPr>
          <w:spacing w:val="14"/>
        </w:rPr>
        <w:t> </w:t>
      </w:r>
      <w:r>
        <w:rPr/>
        <w:t>in Day-2</w:t>
      </w:r>
      <w:r>
        <w:rPr>
          <w:spacing w:val="21"/>
        </w:rPr>
        <w:t> </w:t>
      </w:r>
      <w:r>
        <w:rPr/>
        <w:t>(51.6</w:t>
      </w:r>
      <w:r>
        <w:rPr>
          <w:spacing w:val="15"/>
        </w:rPr>
        <w:t> </w:t>
      </w:r>
      <w:r>
        <w:rPr/>
        <w:t>± 16.5</w:t>
      </w:r>
      <w:r>
        <w:rPr>
          <w:spacing w:val="17"/>
        </w:rPr>
        <w:t> </w:t>
      </w:r>
      <w:r>
        <w:rPr/>
        <w:t>sec.)</w:t>
      </w:r>
      <w:r>
        <w:rPr>
          <w:spacing w:val="10"/>
        </w:rPr>
        <w:t> </w:t>
      </w:r>
      <w:r>
        <w:rPr/>
        <w:t>when</w:t>
      </w:r>
      <w:r>
        <w:rPr>
          <w:spacing w:val="11"/>
        </w:rPr>
        <w:t> </w:t>
      </w:r>
      <w:r>
        <w:rPr/>
        <w:t>compared</w:t>
      </w:r>
      <w:r>
        <w:rPr>
          <w:spacing w:val="21"/>
        </w:rPr>
        <w:t> </w:t>
      </w:r>
      <w:r>
        <w:rPr/>
        <w:t>to</w:t>
      </w:r>
      <w:r>
        <w:rPr>
          <w:spacing w:val="15"/>
        </w:rPr>
        <w:t> </w:t>
      </w:r>
      <w:r>
        <w:rPr/>
        <w:t>Day- 1 (73 ± 8.4 sec.) (Fig. 4.4).</w:t>
      </w:r>
    </w:p>
    <w:p>
      <w:pPr>
        <w:pStyle w:val="BodyText"/>
        <w:rPr>
          <w:sz w:val="23"/>
        </w:rPr>
      </w:pPr>
    </w:p>
    <w:p>
      <w:pPr>
        <w:pStyle w:val="BodyText"/>
        <w:rPr>
          <w:sz w:val="23"/>
        </w:rPr>
      </w:pPr>
    </w:p>
    <w:p>
      <w:pPr>
        <w:pStyle w:val="BodyText"/>
        <w:rPr>
          <w:sz w:val="23"/>
        </w:rPr>
      </w:pPr>
    </w:p>
    <w:p>
      <w:pPr>
        <w:pStyle w:val="BodyText"/>
        <w:spacing w:before="103"/>
        <w:rPr>
          <w:sz w:val="23"/>
        </w:rPr>
      </w:pPr>
    </w:p>
    <w:p>
      <w:pPr>
        <w:spacing w:before="0"/>
        <w:ind w:left="1270" w:right="0" w:firstLine="0"/>
        <w:jc w:val="left"/>
        <w:rPr>
          <w:b/>
          <w:sz w:val="23"/>
        </w:rPr>
      </w:pPr>
      <w:r>
        <w:rPr/>
        <mc:AlternateContent>
          <mc:Choice Requires="wps">
            <w:drawing>
              <wp:anchor distT="0" distB="0" distL="0" distR="0" allowOverlap="1" layoutInCell="1" locked="0" behindDoc="0" simplePos="0" relativeHeight="15738368">
                <wp:simplePos x="0" y="0"/>
                <wp:positionH relativeFrom="page">
                  <wp:posOffset>2057019</wp:posOffset>
                </wp:positionH>
                <wp:positionV relativeFrom="paragraph">
                  <wp:posOffset>-40411</wp:posOffset>
                </wp:positionV>
                <wp:extent cx="4648200" cy="4381500"/>
                <wp:effectExtent l="0" t="0" r="0" b="0"/>
                <wp:wrapNone/>
                <wp:docPr id="94" name="Group 94"/>
                <wp:cNvGraphicFramePr>
                  <a:graphicFrameLocks/>
                </wp:cNvGraphicFramePr>
                <a:graphic>
                  <a:graphicData uri="http://schemas.microsoft.com/office/word/2010/wordprocessingGroup">
                    <wpg:wgp>
                      <wpg:cNvPr id="94" name="Group 94"/>
                      <wpg:cNvGrpSpPr/>
                      <wpg:grpSpPr>
                        <a:xfrm>
                          <a:off x="0" y="0"/>
                          <a:ext cx="4648200" cy="4381500"/>
                          <a:chExt cx="4648200" cy="4381500"/>
                        </a:xfrm>
                      </wpg:grpSpPr>
                      <wps:wsp>
                        <wps:cNvPr id="95" name="Graphic 95"/>
                        <wps:cNvSpPr/>
                        <wps:spPr>
                          <a:xfrm>
                            <a:off x="363093" y="3707891"/>
                            <a:ext cx="440055" cy="627380"/>
                          </a:xfrm>
                          <a:custGeom>
                            <a:avLst/>
                            <a:gdLst/>
                            <a:ahLst/>
                            <a:cxnLst/>
                            <a:rect l="l" t="t" r="r" b="b"/>
                            <a:pathLst>
                              <a:path w="440055" h="627380">
                                <a:moveTo>
                                  <a:pt x="440055" y="0"/>
                                </a:moveTo>
                                <a:lnTo>
                                  <a:pt x="0" y="0"/>
                                </a:lnTo>
                                <a:lnTo>
                                  <a:pt x="0" y="627316"/>
                                </a:lnTo>
                                <a:lnTo>
                                  <a:pt x="440055" y="627316"/>
                                </a:lnTo>
                                <a:lnTo>
                                  <a:pt x="440055" y="0"/>
                                </a:lnTo>
                                <a:close/>
                              </a:path>
                            </a:pathLst>
                          </a:custGeom>
                          <a:solidFill>
                            <a:srgbClr val="9999FF"/>
                          </a:solidFill>
                        </wps:spPr>
                        <wps:bodyPr wrap="square" lIns="0" tIns="0" rIns="0" bIns="0" rtlCol="0">
                          <a:prstTxWarp prst="textNoShape">
                            <a:avLst/>
                          </a:prstTxWarp>
                          <a:noAutofit/>
                        </wps:bodyPr>
                      </wps:wsp>
                      <wps:wsp>
                        <wps:cNvPr id="96" name="Graphic 96"/>
                        <wps:cNvSpPr/>
                        <wps:spPr>
                          <a:xfrm>
                            <a:off x="363093" y="3707891"/>
                            <a:ext cx="440055" cy="627380"/>
                          </a:xfrm>
                          <a:custGeom>
                            <a:avLst/>
                            <a:gdLst/>
                            <a:ahLst/>
                            <a:cxnLst/>
                            <a:rect l="l" t="t" r="r" b="b"/>
                            <a:pathLst>
                              <a:path w="440055" h="627380">
                                <a:moveTo>
                                  <a:pt x="0" y="0"/>
                                </a:moveTo>
                                <a:lnTo>
                                  <a:pt x="440055" y="0"/>
                                </a:lnTo>
                                <a:lnTo>
                                  <a:pt x="440055" y="627316"/>
                                </a:lnTo>
                                <a:lnTo>
                                  <a:pt x="0" y="627316"/>
                                </a:lnTo>
                                <a:lnTo>
                                  <a:pt x="0" y="0"/>
                                </a:lnTo>
                                <a:close/>
                              </a:path>
                            </a:pathLst>
                          </a:custGeom>
                          <a:ln w="8695">
                            <a:solidFill>
                              <a:srgbClr val="000000"/>
                            </a:solidFill>
                            <a:prstDash val="solid"/>
                          </a:ln>
                        </wps:spPr>
                        <wps:bodyPr wrap="square" lIns="0" tIns="0" rIns="0" bIns="0" rtlCol="0">
                          <a:prstTxWarp prst="textNoShape">
                            <a:avLst/>
                          </a:prstTxWarp>
                          <a:noAutofit/>
                        </wps:bodyPr>
                      </wps:wsp>
                      <wps:wsp>
                        <wps:cNvPr id="97" name="Graphic 97"/>
                        <wps:cNvSpPr/>
                        <wps:spPr>
                          <a:xfrm>
                            <a:off x="1900618" y="920686"/>
                            <a:ext cx="439420" cy="3415029"/>
                          </a:xfrm>
                          <a:custGeom>
                            <a:avLst/>
                            <a:gdLst/>
                            <a:ahLst/>
                            <a:cxnLst/>
                            <a:rect l="l" t="t" r="r" b="b"/>
                            <a:pathLst>
                              <a:path w="439420" h="3415029">
                                <a:moveTo>
                                  <a:pt x="439102" y="0"/>
                                </a:moveTo>
                                <a:lnTo>
                                  <a:pt x="0" y="0"/>
                                </a:lnTo>
                                <a:lnTo>
                                  <a:pt x="0" y="3414522"/>
                                </a:lnTo>
                                <a:lnTo>
                                  <a:pt x="439102" y="3414522"/>
                                </a:lnTo>
                                <a:lnTo>
                                  <a:pt x="439102" y="0"/>
                                </a:lnTo>
                                <a:close/>
                              </a:path>
                            </a:pathLst>
                          </a:custGeom>
                          <a:solidFill>
                            <a:srgbClr val="9999FF"/>
                          </a:solidFill>
                        </wps:spPr>
                        <wps:bodyPr wrap="square" lIns="0" tIns="0" rIns="0" bIns="0" rtlCol="0">
                          <a:prstTxWarp prst="textNoShape">
                            <a:avLst/>
                          </a:prstTxWarp>
                          <a:noAutofit/>
                        </wps:bodyPr>
                      </wps:wsp>
                      <wps:wsp>
                        <wps:cNvPr id="98" name="Graphic 98"/>
                        <wps:cNvSpPr/>
                        <wps:spPr>
                          <a:xfrm>
                            <a:off x="1900618" y="920686"/>
                            <a:ext cx="439420" cy="3415029"/>
                          </a:xfrm>
                          <a:custGeom>
                            <a:avLst/>
                            <a:gdLst/>
                            <a:ahLst/>
                            <a:cxnLst/>
                            <a:rect l="l" t="t" r="r" b="b"/>
                            <a:pathLst>
                              <a:path w="439420" h="3415029">
                                <a:moveTo>
                                  <a:pt x="0" y="0"/>
                                </a:moveTo>
                                <a:lnTo>
                                  <a:pt x="439102" y="0"/>
                                </a:lnTo>
                                <a:lnTo>
                                  <a:pt x="439102" y="3414522"/>
                                </a:lnTo>
                                <a:lnTo>
                                  <a:pt x="0" y="3414522"/>
                                </a:lnTo>
                                <a:lnTo>
                                  <a:pt x="0" y="0"/>
                                </a:lnTo>
                                <a:close/>
                              </a:path>
                            </a:pathLst>
                          </a:custGeom>
                          <a:ln w="8695">
                            <a:solidFill>
                              <a:srgbClr val="000000"/>
                            </a:solidFill>
                            <a:prstDash val="solid"/>
                          </a:ln>
                        </wps:spPr>
                        <wps:bodyPr wrap="square" lIns="0" tIns="0" rIns="0" bIns="0" rtlCol="0">
                          <a:prstTxWarp prst="textNoShape">
                            <a:avLst/>
                          </a:prstTxWarp>
                          <a:noAutofit/>
                        </wps:bodyPr>
                      </wps:wsp>
                      <wps:wsp>
                        <wps:cNvPr id="99" name="Graphic 99"/>
                        <wps:cNvSpPr/>
                        <wps:spPr>
                          <a:xfrm>
                            <a:off x="3437191" y="1809940"/>
                            <a:ext cx="440055" cy="2525395"/>
                          </a:xfrm>
                          <a:custGeom>
                            <a:avLst/>
                            <a:gdLst/>
                            <a:ahLst/>
                            <a:cxnLst/>
                            <a:rect l="l" t="t" r="r" b="b"/>
                            <a:pathLst>
                              <a:path w="440055" h="2525395">
                                <a:moveTo>
                                  <a:pt x="440054" y="0"/>
                                </a:moveTo>
                                <a:lnTo>
                                  <a:pt x="0" y="0"/>
                                </a:lnTo>
                                <a:lnTo>
                                  <a:pt x="0" y="2525268"/>
                                </a:lnTo>
                                <a:lnTo>
                                  <a:pt x="440054" y="2525268"/>
                                </a:lnTo>
                                <a:lnTo>
                                  <a:pt x="440054" y="0"/>
                                </a:lnTo>
                                <a:close/>
                              </a:path>
                            </a:pathLst>
                          </a:custGeom>
                          <a:solidFill>
                            <a:srgbClr val="9999FF"/>
                          </a:solidFill>
                        </wps:spPr>
                        <wps:bodyPr wrap="square" lIns="0" tIns="0" rIns="0" bIns="0" rtlCol="0">
                          <a:prstTxWarp prst="textNoShape">
                            <a:avLst/>
                          </a:prstTxWarp>
                          <a:noAutofit/>
                        </wps:bodyPr>
                      </wps:wsp>
                      <wps:wsp>
                        <wps:cNvPr id="100" name="Graphic 100"/>
                        <wps:cNvSpPr/>
                        <wps:spPr>
                          <a:xfrm>
                            <a:off x="3437191" y="1809940"/>
                            <a:ext cx="440055" cy="2525395"/>
                          </a:xfrm>
                          <a:custGeom>
                            <a:avLst/>
                            <a:gdLst/>
                            <a:ahLst/>
                            <a:cxnLst/>
                            <a:rect l="l" t="t" r="r" b="b"/>
                            <a:pathLst>
                              <a:path w="440055" h="2525395">
                                <a:moveTo>
                                  <a:pt x="0" y="0"/>
                                </a:moveTo>
                                <a:lnTo>
                                  <a:pt x="440054" y="0"/>
                                </a:lnTo>
                                <a:lnTo>
                                  <a:pt x="440054" y="2525268"/>
                                </a:lnTo>
                                <a:lnTo>
                                  <a:pt x="0" y="2525268"/>
                                </a:lnTo>
                                <a:lnTo>
                                  <a:pt x="0" y="0"/>
                                </a:lnTo>
                                <a:close/>
                              </a:path>
                            </a:pathLst>
                          </a:custGeom>
                          <a:ln w="8695">
                            <a:solidFill>
                              <a:srgbClr val="000000"/>
                            </a:solidFill>
                            <a:prstDash val="solid"/>
                          </a:ln>
                        </wps:spPr>
                        <wps:bodyPr wrap="square" lIns="0" tIns="0" rIns="0" bIns="0" rtlCol="0">
                          <a:prstTxWarp prst="textNoShape">
                            <a:avLst/>
                          </a:prstTxWarp>
                          <a:noAutofit/>
                        </wps:bodyPr>
                      </wps:wsp>
                      <wps:wsp>
                        <wps:cNvPr id="101" name="Graphic 101"/>
                        <wps:cNvSpPr/>
                        <wps:spPr>
                          <a:xfrm>
                            <a:off x="803148" y="2070925"/>
                            <a:ext cx="439420" cy="2264410"/>
                          </a:xfrm>
                          <a:custGeom>
                            <a:avLst/>
                            <a:gdLst/>
                            <a:ahLst/>
                            <a:cxnLst/>
                            <a:rect l="l" t="t" r="r" b="b"/>
                            <a:pathLst>
                              <a:path w="439420" h="2264410">
                                <a:moveTo>
                                  <a:pt x="439102" y="0"/>
                                </a:moveTo>
                                <a:lnTo>
                                  <a:pt x="0" y="0"/>
                                </a:lnTo>
                                <a:lnTo>
                                  <a:pt x="0" y="2264283"/>
                                </a:lnTo>
                                <a:lnTo>
                                  <a:pt x="439102" y="2264283"/>
                                </a:lnTo>
                                <a:lnTo>
                                  <a:pt x="439102" y="0"/>
                                </a:lnTo>
                                <a:close/>
                              </a:path>
                            </a:pathLst>
                          </a:custGeom>
                          <a:solidFill>
                            <a:srgbClr val="993366"/>
                          </a:solidFill>
                        </wps:spPr>
                        <wps:bodyPr wrap="square" lIns="0" tIns="0" rIns="0" bIns="0" rtlCol="0">
                          <a:prstTxWarp prst="textNoShape">
                            <a:avLst/>
                          </a:prstTxWarp>
                          <a:noAutofit/>
                        </wps:bodyPr>
                      </wps:wsp>
                      <wps:wsp>
                        <wps:cNvPr id="102" name="Graphic 102"/>
                        <wps:cNvSpPr/>
                        <wps:spPr>
                          <a:xfrm>
                            <a:off x="803148" y="2070925"/>
                            <a:ext cx="439420" cy="2264410"/>
                          </a:xfrm>
                          <a:custGeom>
                            <a:avLst/>
                            <a:gdLst/>
                            <a:ahLst/>
                            <a:cxnLst/>
                            <a:rect l="l" t="t" r="r" b="b"/>
                            <a:pathLst>
                              <a:path w="439420" h="2264410">
                                <a:moveTo>
                                  <a:pt x="0" y="0"/>
                                </a:moveTo>
                                <a:lnTo>
                                  <a:pt x="439102" y="0"/>
                                </a:lnTo>
                                <a:lnTo>
                                  <a:pt x="439102" y="2264283"/>
                                </a:lnTo>
                                <a:lnTo>
                                  <a:pt x="0" y="2264283"/>
                                </a:lnTo>
                                <a:lnTo>
                                  <a:pt x="0" y="0"/>
                                </a:lnTo>
                                <a:close/>
                              </a:path>
                            </a:pathLst>
                          </a:custGeom>
                          <a:ln w="8695">
                            <a:solidFill>
                              <a:srgbClr val="000000"/>
                            </a:solidFill>
                            <a:prstDash val="solid"/>
                          </a:ln>
                        </wps:spPr>
                        <wps:bodyPr wrap="square" lIns="0" tIns="0" rIns="0" bIns="0" rtlCol="0">
                          <a:prstTxWarp prst="textNoShape">
                            <a:avLst/>
                          </a:prstTxWarp>
                          <a:noAutofit/>
                        </wps:bodyPr>
                      </wps:wsp>
                      <wps:wsp>
                        <wps:cNvPr id="103" name="Graphic 103"/>
                        <wps:cNvSpPr/>
                        <wps:spPr>
                          <a:xfrm>
                            <a:off x="2339720" y="1921764"/>
                            <a:ext cx="439420" cy="2413635"/>
                          </a:xfrm>
                          <a:custGeom>
                            <a:avLst/>
                            <a:gdLst/>
                            <a:ahLst/>
                            <a:cxnLst/>
                            <a:rect l="l" t="t" r="r" b="b"/>
                            <a:pathLst>
                              <a:path w="439420" h="2413635">
                                <a:moveTo>
                                  <a:pt x="439293" y="0"/>
                                </a:moveTo>
                                <a:lnTo>
                                  <a:pt x="0" y="0"/>
                                </a:lnTo>
                                <a:lnTo>
                                  <a:pt x="0" y="2413444"/>
                                </a:lnTo>
                                <a:lnTo>
                                  <a:pt x="439293" y="2413444"/>
                                </a:lnTo>
                                <a:lnTo>
                                  <a:pt x="439293" y="0"/>
                                </a:lnTo>
                                <a:close/>
                              </a:path>
                            </a:pathLst>
                          </a:custGeom>
                          <a:solidFill>
                            <a:srgbClr val="993366"/>
                          </a:solidFill>
                        </wps:spPr>
                        <wps:bodyPr wrap="square" lIns="0" tIns="0" rIns="0" bIns="0" rtlCol="0">
                          <a:prstTxWarp prst="textNoShape">
                            <a:avLst/>
                          </a:prstTxWarp>
                          <a:noAutofit/>
                        </wps:bodyPr>
                      </wps:wsp>
                      <wps:wsp>
                        <wps:cNvPr id="104" name="Graphic 104"/>
                        <wps:cNvSpPr/>
                        <wps:spPr>
                          <a:xfrm>
                            <a:off x="2339720" y="1921764"/>
                            <a:ext cx="439420" cy="2413635"/>
                          </a:xfrm>
                          <a:custGeom>
                            <a:avLst/>
                            <a:gdLst/>
                            <a:ahLst/>
                            <a:cxnLst/>
                            <a:rect l="l" t="t" r="r" b="b"/>
                            <a:pathLst>
                              <a:path w="439420" h="2413635">
                                <a:moveTo>
                                  <a:pt x="0" y="0"/>
                                </a:moveTo>
                                <a:lnTo>
                                  <a:pt x="439293" y="0"/>
                                </a:lnTo>
                                <a:lnTo>
                                  <a:pt x="439293" y="2413444"/>
                                </a:lnTo>
                                <a:lnTo>
                                  <a:pt x="0" y="2413444"/>
                                </a:lnTo>
                                <a:lnTo>
                                  <a:pt x="0" y="0"/>
                                </a:lnTo>
                                <a:close/>
                              </a:path>
                            </a:pathLst>
                          </a:custGeom>
                          <a:ln w="8695">
                            <a:solidFill>
                              <a:srgbClr val="000000"/>
                            </a:solidFill>
                            <a:prstDash val="solid"/>
                          </a:ln>
                        </wps:spPr>
                        <wps:bodyPr wrap="square" lIns="0" tIns="0" rIns="0" bIns="0" rtlCol="0">
                          <a:prstTxWarp prst="textNoShape">
                            <a:avLst/>
                          </a:prstTxWarp>
                          <a:noAutofit/>
                        </wps:bodyPr>
                      </wps:wsp>
                      <wps:wsp>
                        <wps:cNvPr id="105" name="Graphic 105"/>
                        <wps:cNvSpPr/>
                        <wps:spPr>
                          <a:xfrm>
                            <a:off x="3877246" y="1211389"/>
                            <a:ext cx="439420" cy="3124200"/>
                          </a:xfrm>
                          <a:custGeom>
                            <a:avLst/>
                            <a:gdLst/>
                            <a:ahLst/>
                            <a:cxnLst/>
                            <a:rect l="l" t="t" r="r" b="b"/>
                            <a:pathLst>
                              <a:path w="439420" h="3124200">
                                <a:moveTo>
                                  <a:pt x="439293" y="0"/>
                                </a:moveTo>
                                <a:lnTo>
                                  <a:pt x="0" y="0"/>
                                </a:lnTo>
                                <a:lnTo>
                                  <a:pt x="0" y="3123819"/>
                                </a:lnTo>
                                <a:lnTo>
                                  <a:pt x="439293" y="3123819"/>
                                </a:lnTo>
                                <a:lnTo>
                                  <a:pt x="439293" y="0"/>
                                </a:lnTo>
                                <a:close/>
                              </a:path>
                            </a:pathLst>
                          </a:custGeom>
                          <a:solidFill>
                            <a:srgbClr val="993366"/>
                          </a:solidFill>
                        </wps:spPr>
                        <wps:bodyPr wrap="square" lIns="0" tIns="0" rIns="0" bIns="0" rtlCol="0">
                          <a:prstTxWarp prst="textNoShape">
                            <a:avLst/>
                          </a:prstTxWarp>
                          <a:noAutofit/>
                        </wps:bodyPr>
                      </wps:wsp>
                      <wps:wsp>
                        <wps:cNvPr id="106" name="Graphic 106"/>
                        <wps:cNvSpPr/>
                        <wps:spPr>
                          <a:xfrm>
                            <a:off x="3877246" y="1211389"/>
                            <a:ext cx="439420" cy="3124200"/>
                          </a:xfrm>
                          <a:custGeom>
                            <a:avLst/>
                            <a:gdLst/>
                            <a:ahLst/>
                            <a:cxnLst/>
                            <a:rect l="l" t="t" r="r" b="b"/>
                            <a:pathLst>
                              <a:path w="439420" h="3124200">
                                <a:moveTo>
                                  <a:pt x="0" y="0"/>
                                </a:moveTo>
                                <a:lnTo>
                                  <a:pt x="439293" y="0"/>
                                </a:lnTo>
                                <a:lnTo>
                                  <a:pt x="439293" y="3123819"/>
                                </a:lnTo>
                                <a:lnTo>
                                  <a:pt x="0" y="3123819"/>
                                </a:lnTo>
                                <a:lnTo>
                                  <a:pt x="0" y="0"/>
                                </a:lnTo>
                                <a:close/>
                              </a:path>
                            </a:pathLst>
                          </a:custGeom>
                          <a:ln w="8695">
                            <a:solidFill>
                              <a:srgbClr val="000000"/>
                            </a:solidFill>
                            <a:prstDash val="solid"/>
                          </a:ln>
                        </wps:spPr>
                        <wps:bodyPr wrap="square" lIns="0" tIns="0" rIns="0" bIns="0" rtlCol="0">
                          <a:prstTxWarp prst="textNoShape">
                            <a:avLst/>
                          </a:prstTxWarp>
                          <a:noAutofit/>
                        </wps:bodyPr>
                      </wps:wsp>
                      <wps:wsp>
                        <wps:cNvPr id="107" name="Graphic 107"/>
                        <wps:cNvSpPr/>
                        <wps:spPr>
                          <a:xfrm>
                            <a:off x="564070" y="494728"/>
                            <a:ext cx="3552825" cy="3284220"/>
                          </a:xfrm>
                          <a:custGeom>
                            <a:avLst/>
                            <a:gdLst/>
                            <a:ahLst/>
                            <a:cxnLst/>
                            <a:rect l="l" t="t" r="r" b="b"/>
                            <a:pathLst>
                              <a:path w="3552825" h="3284220">
                                <a:moveTo>
                                  <a:pt x="19050" y="3213163"/>
                                </a:moveTo>
                                <a:lnTo>
                                  <a:pt x="19050" y="3143630"/>
                                </a:lnTo>
                              </a:path>
                              <a:path w="3552825" h="3284220">
                                <a:moveTo>
                                  <a:pt x="0" y="3143630"/>
                                </a:moveTo>
                                <a:lnTo>
                                  <a:pt x="38862" y="3143630"/>
                                </a:lnTo>
                              </a:path>
                              <a:path w="3552825" h="3284220">
                                <a:moveTo>
                                  <a:pt x="1555623" y="425957"/>
                                </a:moveTo>
                                <a:lnTo>
                                  <a:pt x="1555623" y="33527"/>
                                </a:lnTo>
                              </a:path>
                              <a:path w="3552825" h="3284220">
                                <a:moveTo>
                                  <a:pt x="1536573" y="33527"/>
                                </a:moveTo>
                                <a:lnTo>
                                  <a:pt x="1575625" y="33527"/>
                                </a:lnTo>
                              </a:path>
                              <a:path w="3552825" h="3284220">
                                <a:moveTo>
                                  <a:pt x="3093148" y="1315211"/>
                                </a:moveTo>
                                <a:lnTo>
                                  <a:pt x="3093148" y="608456"/>
                                </a:lnTo>
                              </a:path>
                              <a:path w="3552825" h="3284220">
                                <a:moveTo>
                                  <a:pt x="3074098" y="608456"/>
                                </a:moveTo>
                                <a:lnTo>
                                  <a:pt x="3113151" y="608456"/>
                                </a:lnTo>
                              </a:path>
                              <a:path w="3552825" h="3284220">
                                <a:moveTo>
                                  <a:pt x="19050" y="3213163"/>
                                </a:moveTo>
                                <a:lnTo>
                                  <a:pt x="19050" y="3284029"/>
                                </a:lnTo>
                              </a:path>
                              <a:path w="3552825" h="3284220">
                                <a:moveTo>
                                  <a:pt x="0" y="3284029"/>
                                </a:moveTo>
                                <a:lnTo>
                                  <a:pt x="38862" y="3284029"/>
                                </a:lnTo>
                              </a:path>
                              <a:path w="3552825" h="3284220">
                                <a:moveTo>
                                  <a:pt x="1555623" y="425957"/>
                                </a:moveTo>
                                <a:lnTo>
                                  <a:pt x="1555623" y="818388"/>
                                </a:lnTo>
                              </a:path>
                              <a:path w="3552825" h="3284220">
                                <a:moveTo>
                                  <a:pt x="1536573" y="818388"/>
                                </a:moveTo>
                                <a:lnTo>
                                  <a:pt x="1575625" y="818388"/>
                                </a:lnTo>
                              </a:path>
                              <a:path w="3552825" h="3284220">
                                <a:moveTo>
                                  <a:pt x="3093148" y="1315211"/>
                                </a:moveTo>
                                <a:lnTo>
                                  <a:pt x="3093148" y="2020823"/>
                                </a:lnTo>
                              </a:path>
                              <a:path w="3552825" h="3284220">
                                <a:moveTo>
                                  <a:pt x="3074098" y="2020823"/>
                                </a:moveTo>
                                <a:lnTo>
                                  <a:pt x="3113151" y="2020823"/>
                                </a:lnTo>
                              </a:path>
                              <a:path w="3552825" h="3284220">
                                <a:moveTo>
                                  <a:pt x="458152" y="1576196"/>
                                </a:moveTo>
                                <a:lnTo>
                                  <a:pt x="458152" y="977455"/>
                                </a:lnTo>
                              </a:path>
                              <a:path w="3552825" h="3284220">
                                <a:moveTo>
                                  <a:pt x="439102" y="977455"/>
                                </a:moveTo>
                                <a:lnTo>
                                  <a:pt x="478155" y="977455"/>
                                </a:lnTo>
                              </a:path>
                              <a:path w="3552825" h="3284220">
                                <a:moveTo>
                                  <a:pt x="1994725" y="1427035"/>
                                </a:moveTo>
                                <a:lnTo>
                                  <a:pt x="1994725" y="655701"/>
                                </a:lnTo>
                              </a:path>
                              <a:path w="3552825" h="3284220">
                                <a:moveTo>
                                  <a:pt x="1975865" y="655701"/>
                                </a:moveTo>
                                <a:lnTo>
                                  <a:pt x="2014727" y="655701"/>
                                </a:lnTo>
                              </a:path>
                              <a:path w="3552825" h="3284220">
                                <a:moveTo>
                                  <a:pt x="3532441" y="716660"/>
                                </a:moveTo>
                                <a:lnTo>
                                  <a:pt x="3532441" y="0"/>
                                </a:lnTo>
                              </a:path>
                              <a:path w="3552825" h="3284220">
                                <a:moveTo>
                                  <a:pt x="3513391" y="0"/>
                                </a:moveTo>
                                <a:lnTo>
                                  <a:pt x="3552253" y="0"/>
                                </a:lnTo>
                              </a:path>
                              <a:path w="3552825" h="3284220">
                                <a:moveTo>
                                  <a:pt x="458152" y="1576196"/>
                                </a:moveTo>
                                <a:lnTo>
                                  <a:pt x="458152" y="2174747"/>
                                </a:lnTo>
                              </a:path>
                              <a:path w="3552825" h="3284220">
                                <a:moveTo>
                                  <a:pt x="439102" y="2174747"/>
                                </a:moveTo>
                                <a:lnTo>
                                  <a:pt x="478155" y="2174747"/>
                                </a:lnTo>
                              </a:path>
                              <a:path w="3552825" h="3284220">
                                <a:moveTo>
                                  <a:pt x="1994725" y="1427035"/>
                                </a:moveTo>
                                <a:lnTo>
                                  <a:pt x="1994725" y="2198369"/>
                                </a:lnTo>
                              </a:path>
                              <a:path w="3552825" h="3284220">
                                <a:moveTo>
                                  <a:pt x="1975865" y="2198369"/>
                                </a:moveTo>
                                <a:lnTo>
                                  <a:pt x="2014727" y="2198369"/>
                                </a:lnTo>
                              </a:path>
                              <a:path w="3552825" h="3284220">
                                <a:moveTo>
                                  <a:pt x="3532441" y="716660"/>
                                </a:moveTo>
                                <a:lnTo>
                                  <a:pt x="3532441" y="1431988"/>
                                </a:lnTo>
                              </a:path>
                              <a:path w="3552825" h="3284220">
                                <a:moveTo>
                                  <a:pt x="3513391" y="1431988"/>
                                </a:moveTo>
                                <a:lnTo>
                                  <a:pt x="3552253" y="1431988"/>
                                </a:lnTo>
                              </a:path>
                            </a:pathLst>
                          </a:custGeom>
                          <a:ln w="8695">
                            <a:solidFill>
                              <a:srgbClr val="000000"/>
                            </a:solidFill>
                            <a:prstDash val="solid"/>
                          </a:ln>
                        </wps:spPr>
                        <wps:bodyPr wrap="square" lIns="0" tIns="0" rIns="0" bIns="0" rtlCol="0">
                          <a:prstTxWarp prst="textNoShape">
                            <a:avLst/>
                          </a:prstTxWarp>
                          <a:noAutofit/>
                        </wps:bodyPr>
                      </wps:wsp>
                      <wps:wsp>
                        <wps:cNvPr id="108" name="Graphic 108"/>
                        <wps:cNvSpPr/>
                        <wps:spPr>
                          <a:xfrm>
                            <a:off x="0" y="1523"/>
                            <a:ext cx="4646295" cy="4379595"/>
                          </a:xfrm>
                          <a:custGeom>
                            <a:avLst/>
                            <a:gdLst/>
                            <a:ahLst/>
                            <a:cxnLst/>
                            <a:rect l="l" t="t" r="r" b="b"/>
                            <a:pathLst>
                              <a:path w="4646295" h="4379595">
                                <a:moveTo>
                                  <a:pt x="34289" y="124205"/>
                                </a:moveTo>
                                <a:lnTo>
                                  <a:pt x="34289" y="4333684"/>
                                </a:lnTo>
                              </a:path>
                              <a:path w="4646295" h="4379595">
                                <a:moveTo>
                                  <a:pt x="0" y="4333684"/>
                                </a:moveTo>
                                <a:lnTo>
                                  <a:pt x="34289" y="4333684"/>
                                </a:lnTo>
                              </a:path>
                              <a:path w="4646295" h="4379595">
                                <a:moveTo>
                                  <a:pt x="0" y="3865245"/>
                                </a:moveTo>
                                <a:lnTo>
                                  <a:pt x="34289" y="3865245"/>
                                </a:lnTo>
                              </a:path>
                              <a:path w="4646295" h="4379595">
                                <a:moveTo>
                                  <a:pt x="0" y="3398329"/>
                                </a:moveTo>
                                <a:lnTo>
                                  <a:pt x="34289" y="3398329"/>
                                </a:lnTo>
                              </a:path>
                              <a:path w="4646295" h="4379595">
                                <a:moveTo>
                                  <a:pt x="0" y="2930080"/>
                                </a:moveTo>
                                <a:lnTo>
                                  <a:pt x="34289" y="2930080"/>
                                </a:lnTo>
                              </a:path>
                              <a:path w="4646295" h="4379595">
                                <a:moveTo>
                                  <a:pt x="0" y="2462974"/>
                                </a:moveTo>
                                <a:lnTo>
                                  <a:pt x="34289" y="2462974"/>
                                </a:lnTo>
                              </a:path>
                              <a:path w="4646295" h="4379595">
                                <a:moveTo>
                                  <a:pt x="0" y="1994725"/>
                                </a:moveTo>
                                <a:lnTo>
                                  <a:pt x="34289" y="1994725"/>
                                </a:lnTo>
                              </a:path>
                              <a:path w="4646295" h="4379595">
                                <a:moveTo>
                                  <a:pt x="0" y="1527810"/>
                                </a:moveTo>
                                <a:lnTo>
                                  <a:pt x="34289" y="1527810"/>
                                </a:lnTo>
                              </a:path>
                              <a:path w="4646295" h="4379595">
                                <a:moveTo>
                                  <a:pt x="0" y="1059561"/>
                                </a:moveTo>
                                <a:lnTo>
                                  <a:pt x="34289" y="1059561"/>
                                </a:lnTo>
                              </a:path>
                              <a:path w="4646295" h="4379595">
                                <a:moveTo>
                                  <a:pt x="0" y="592455"/>
                                </a:moveTo>
                                <a:lnTo>
                                  <a:pt x="34289" y="592455"/>
                                </a:lnTo>
                              </a:path>
                              <a:path w="4646295" h="4379595">
                                <a:moveTo>
                                  <a:pt x="0" y="124205"/>
                                </a:moveTo>
                                <a:lnTo>
                                  <a:pt x="34289" y="124205"/>
                                </a:lnTo>
                              </a:path>
                              <a:path w="4646295" h="4379595">
                                <a:moveTo>
                                  <a:pt x="34289" y="4333684"/>
                                </a:moveTo>
                                <a:lnTo>
                                  <a:pt x="4646104" y="4333684"/>
                                </a:lnTo>
                              </a:path>
                              <a:path w="4646295" h="4379595">
                                <a:moveTo>
                                  <a:pt x="34289" y="4379595"/>
                                </a:moveTo>
                                <a:lnTo>
                                  <a:pt x="34289" y="4333684"/>
                                </a:lnTo>
                              </a:path>
                              <a:path w="4646295" h="4379595">
                                <a:moveTo>
                                  <a:pt x="1571815" y="4379595"/>
                                </a:moveTo>
                                <a:lnTo>
                                  <a:pt x="1571815" y="4333684"/>
                                </a:lnTo>
                              </a:path>
                              <a:path w="4646295" h="4379595">
                                <a:moveTo>
                                  <a:pt x="3108579" y="4379595"/>
                                </a:moveTo>
                                <a:lnTo>
                                  <a:pt x="3108579" y="4333684"/>
                                </a:lnTo>
                              </a:path>
                              <a:path w="4646295" h="4379595">
                                <a:moveTo>
                                  <a:pt x="4646104" y="4379595"/>
                                </a:moveTo>
                                <a:lnTo>
                                  <a:pt x="4646104" y="4333684"/>
                                </a:lnTo>
                              </a:path>
                              <a:path w="4646295" h="4379595">
                                <a:moveTo>
                                  <a:pt x="2563368" y="0"/>
                                </a:moveTo>
                                <a:lnTo>
                                  <a:pt x="2991802" y="0"/>
                                </a:lnTo>
                                <a:lnTo>
                                  <a:pt x="2991802" y="412432"/>
                                </a:lnTo>
                                <a:lnTo>
                                  <a:pt x="2563368" y="412432"/>
                                </a:lnTo>
                                <a:lnTo>
                                  <a:pt x="2563368" y="0"/>
                                </a:lnTo>
                                <a:close/>
                              </a:path>
                            </a:pathLst>
                          </a:custGeom>
                          <a:ln w="3048">
                            <a:solidFill>
                              <a:srgbClr val="000000"/>
                            </a:solidFill>
                            <a:prstDash val="solid"/>
                          </a:ln>
                        </wps:spPr>
                        <wps:bodyPr wrap="square" lIns="0" tIns="0" rIns="0" bIns="0" rtlCol="0">
                          <a:prstTxWarp prst="textNoShape">
                            <a:avLst/>
                          </a:prstTxWarp>
                          <a:noAutofit/>
                        </wps:bodyPr>
                      </wps:wsp>
                      <wps:wsp>
                        <wps:cNvPr id="109" name="Graphic 109"/>
                        <wps:cNvSpPr/>
                        <wps:spPr>
                          <a:xfrm>
                            <a:off x="2596895" y="66103"/>
                            <a:ext cx="66675" cy="90805"/>
                          </a:xfrm>
                          <a:custGeom>
                            <a:avLst/>
                            <a:gdLst/>
                            <a:ahLst/>
                            <a:cxnLst/>
                            <a:rect l="l" t="t" r="r" b="b"/>
                            <a:pathLst>
                              <a:path w="66675" h="90805">
                                <a:moveTo>
                                  <a:pt x="66103" y="0"/>
                                </a:moveTo>
                                <a:lnTo>
                                  <a:pt x="0" y="0"/>
                                </a:lnTo>
                                <a:lnTo>
                                  <a:pt x="0" y="90677"/>
                                </a:lnTo>
                                <a:lnTo>
                                  <a:pt x="66103" y="90677"/>
                                </a:lnTo>
                                <a:lnTo>
                                  <a:pt x="66103" y="0"/>
                                </a:lnTo>
                                <a:close/>
                              </a:path>
                            </a:pathLst>
                          </a:custGeom>
                          <a:solidFill>
                            <a:srgbClr val="9999FF"/>
                          </a:solidFill>
                        </wps:spPr>
                        <wps:bodyPr wrap="square" lIns="0" tIns="0" rIns="0" bIns="0" rtlCol="0">
                          <a:prstTxWarp prst="textNoShape">
                            <a:avLst/>
                          </a:prstTxWarp>
                          <a:noAutofit/>
                        </wps:bodyPr>
                      </wps:wsp>
                      <wps:wsp>
                        <wps:cNvPr id="110" name="Graphic 110"/>
                        <wps:cNvSpPr/>
                        <wps:spPr>
                          <a:xfrm>
                            <a:off x="2596895" y="66103"/>
                            <a:ext cx="66675" cy="90805"/>
                          </a:xfrm>
                          <a:custGeom>
                            <a:avLst/>
                            <a:gdLst/>
                            <a:ahLst/>
                            <a:cxnLst/>
                            <a:rect l="l" t="t" r="r" b="b"/>
                            <a:pathLst>
                              <a:path w="66675" h="90805">
                                <a:moveTo>
                                  <a:pt x="0" y="0"/>
                                </a:moveTo>
                                <a:lnTo>
                                  <a:pt x="66103" y="0"/>
                                </a:lnTo>
                                <a:lnTo>
                                  <a:pt x="66103" y="90677"/>
                                </a:lnTo>
                                <a:lnTo>
                                  <a:pt x="0" y="90677"/>
                                </a:lnTo>
                                <a:lnTo>
                                  <a:pt x="0" y="0"/>
                                </a:lnTo>
                                <a:close/>
                              </a:path>
                            </a:pathLst>
                          </a:custGeom>
                          <a:ln w="8695">
                            <a:solidFill>
                              <a:srgbClr val="000000"/>
                            </a:solidFill>
                            <a:prstDash val="solid"/>
                          </a:ln>
                        </wps:spPr>
                        <wps:bodyPr wrap="square" lIns="0" tIns="0" rIns="0" bIns="0" rtlCol="0">
                          <a:prstTxWarp prst="textNoShape">
                            <a:avLst/>
                          </a:prstTxWarp>
                          <a:noAutofit/>
                        </wps:bodyPr>
                      </wps:wsp>
                      <wps:wsp>
                        <wps:cNvPr id="111" name="Graphic 111"/>
                        <wps:cNvSpPr/>
                        <wps:spPr>
                          <a:xfrm>
                            <a:off x="2596895" y="272415"/>
                            <a:ext cx="66675" cy="90805"/>
                          </a:xfrm>
                          <a:custGeom>
                            <a:avLst/>
                            <a:gdLst/>
                            <a:ahLst/>
                            <a:cxnLst/>
                            <a:rect l="l" t="t" r="r" b="b"/>
                            <a:pathLst>
                              <a:path w="66675" h="90805">
                                <a:moveTo>
                                  <a:pt x="66103" y="0"/>
                                </a:moveTo>
                                <a:lnTo>
                                  <a:pt x="0" y="0"/>
                                </a:lnTo>
                                <a:lnTo>
                                  <a:pt x="0" y="90487"/>
                                </a:lnTo>
                                <a:lnTo>
                                  <a:pt x="66103" y="90487"/>
                                </a:lnTo>
                                <a:lnTo>
                                  <a:pt x="66103" y="0"/>
                                </a:lnTo>
                                <a:close/>
                              </a:path>
                            </a:pathLst>
                          </a:custGeom>
                          <a:solidFill>
                            <a:srgbClr val="993366"/>
                          </a:solidFill>
                        </wps:spPr>
                        <wps:bodyPr wrap="square" lIns="0" tIns="0" rIns="0" bIns="0" rtlCol="0">
                          <a:prstTxWarp prst="textNoShape">
                            <a:avLst/>
                          </a:prstTxWarp>
                          <a:noAutofit/>
                        </wps:bodyPr>
                      </wps:wsp>
                      <wps:wsp>
                        <wps:cNvPr id="112" name="Graphic 112"/>
                        <wps:cNvSpPr/>
                        <wps:spPr>
                          <a:xfrm>
                            <a:off x="2596895" y="272415"/>
                            <a:ext cx="66675" cy="90805"/>
                          </a:xfrm>
                          <a:custGeom>
                            <a:avLst/>
                            <a:gdLst/>
                            <a:ahLst/>
                            <a:cxnLst/>
                            <a:rect l="l" t="t" r="r" b="b"/>
                            <a:pathLst>
                              <a:path w="66675" h="90805">
                                <a:moveTo>
                                  <a:pt x="0" y="0"/>
                                </a:moveTo>
                                <a:lnTo>
                                  <a:pt x="66103" y="0"/>
                                </a:lnTo>
                                <a:lnTo>
                                  <a:pt x="66103" y="90487"/>
                                </a:lnTo>
                                <a:lnTo>
                                  <a:pt x="0" y="90487"/>
                                </a:lnTo>
                                <a:lnTo>
                                  <a:pt x="0" y="0"/>
                                </a:lnTo>
                                <a:close/>
                              </a:path>
                            </a:pathLst>
                          </a:custGeom>
                          <a:ln w="8695">
                            <a:solidFill>
                              <a:srgbClr val="000000"/>
                            </a:solidFill>
                            <a:prstDash val="solid"/>
                          </a:ln>
                        </wps:spPr>
                        <wps:bodyPr wrap="square" lIns="0" tIns="0" rIns="0" bIns="0" rtlCol="0">
                          <a:prstTxWarp prst="textNoShape">
                            <a:avLst/>
                          </a:prstTxWarp>
                          <a:noAutofit/>
                        </wps:bodyPr>
                      </wps:wsp>
                      <wps:wsp>
                        <wps:cNvPr id="113" name="Textbox 113"/>
                        <wps:cNvSpPr txBox="1"/>
                        <wps:spPr>
                          <a:xfrm>
                            <a:off x="2688717" y="32237"/>
                            <a:ext cx="285115" cy="368300"/>
                          </a:xfrm>
                          <a:prstGeom prst="rect">
                            <a:avLst/>
                          </a:prstGeom>
                        </wps:spPr>
                        <wps:txbx>
                          <w:txbxContent>
                            <w:p>
                              <w:pPr>
                                <w:spacing w:line="254" w:lineRule="exact" w:before="0"/>
                                <w:ind w:left="0" w:right="0" w:firstLine="0"/>
                                <w:jc w:val="left"/>
                                <w:rPr>
                                  <w:b/>
                                  <w:sz w:val="23"/>
                                </w:rPr>
                              </w:pPr>
                              <w:r>
                                <w:rPr>
                                  <w:b/>
                                  <w:w w:val="70"/>
                                  <w:sz w:val="23"/>
                                </w:rPr>
                                <w:t>Day-</w:t>
                              </w:r>
                              <w:r>
                                <w:rPr>
                                  <w:b/>
                                  <w:spacing w:val="-10"/>
                                  <w:w w:val="80"/>
                                  <w:sz w:val="23"/>
                                </w:rPr>
                                <w:t>1</w:t>
                              </w:r>
                            </w:p>
                            <w:p>
                              <w:pPr>
                                <w:spacing w:line="264" w:lineRule="exact" w:before="62"/>
                                <w:ind w:left="0" w:right="0" w:firstLine="0"/>
                                <w:jc w:val="left"/>
                                <w:rPr>
                                  <w:b/>
                                  <w:sz w:val="23"/>
                                </w:rPr>
                              </w:pPr>
                              <w:r>
                                <w:rPr>
                                  <w:b/>
                                  <w:w w:val="70"/>
                                  <w:sz w:val="23"/>
                                </w:rPr>
                                <w:t>Day-</w:t>
                              </w:r>
                              <w:r>
                                <w:rPr>
                                  <w:b/>
                                  <w:spacing w:val="-10"/>
                                  <w:w w:val="80"/>
                                  <w:sz w:val="23"/>
                                </w:rPr>
                                <w:t>2</w:t>
                              </w:r>
                            </w:p>
                          </w:txbxContent>
                        </wps:txbx>
                        <wps:bodyPr wrap="square" lIns="0" tIns="0" rIns="0" bIns="0" rtlCol="0">
                          <a:noAutofit/>
                        </wps:bodyPr>
                      </wps:wsp>
                      <wps:wsp>
                        <wps:cNvPr id="114" name="Textbox 114"/>
                        <wps:cNvSpPr txBox="1"/>
                        <wps:spPr>
                          <a:xfrm>
                            <a:off x="4075557" y="172615"/>
                            <a:ext cx="81915" cy="132080"/>
                          </a:xfrm>
                          <a:prstGeom prst="rect">
                            <a:avLst/>
                          </a:prstGeom>
                        </wps:spPr>
                        <wps:txbx>
                          <w:txbxContent>
                            <w:p>
                              <w:pPr>
                                <w:spacing w:line="208" w:lineRule="exact" w:before="0"/>
                                <w:ind w:left="0" w:right="0" w:firstLine="0"/>
                                <w:jc w:val="left"/>
                                <w:rPr>
                                  <w:rFonts w:ascii="Calibri"/>
                                  <w:sz w:val="20"/>
                                </w:rPr>
                              </w:pPr>
                              <w:r>
                                <w:rPr>
                                  <w:rFonts w:ascii="Calibri"/>
                                  <w:spacing w:val="-10"/>
                                  <w:w w:val="105"/>
                                  <w:sz w:val="20"/>
                                </w:rPr>
                                <w:t>b</w:t>
                              </w:r>
                            </w:p>
                          </w:txbxContent>
                        </wps:txbx>
                        <wps:bodyPr wrap="square" lIns="0" tIns="0" rIns="0" bIns="0" rtlCol="0">
                          <a:noAutofit/>
                        </wps:bodyPr>
                      </wps:wsp>
                      <wps:wsp>
                        <wps:cNvPr id="115" name="Textbox 115"/>
                        <wps:cNvSpPr txBox="1"/>
                        <wps:spPr>
                          <a:xfrm>
                            <a:off x="3648836" y="818791"/>
                            <a:ext cx="76200" cy="132080"/>
                          </a:xfrm>
                          <a:prstGeom prst="rect">
                            <a:avLst/>
                          </a:prstGeom>
                        </wps:spPr>
                        <wps:txbx>
                          <w:txbxContent>
                            <w:p>
                              <w:pPr>
                                <w:spacing w:line="208" w:lineRule="exact" w:before="0"/>
                                <w:ind w:left="0" w:right="0" w:firstLine="0"/>
                                <w:jc w:val="left"/>
                                <w:rPr>
                                  <w:rFonts w:ascii="Calibri"/>
                                  <w:sz w:val="20"/>
                                </w:rPr>
                              </w:pPr>
                              <w:r>
                                <w:rPr>
                                  <w:rFonts w:ascii="Calibri"/>
                                  <w:spacing w:val="-10"/>
                                  <w:w w:val="105"/>
                                  <w:sz w:val="20"/>
                                </w:rPr>
                                <w:t>a</w:t>
                              </w:r>
                            </w:p>
                          </w:txbxContent>
                        </wps:txbx>
                        <wps:bodyPr wrap="square" lIns="0" tIns="0" rIns="0" bIns="0" rtlCol="0">
                          <a:noAutofit/>
                        </wps:bodyPr>
                      </wps:wsp>
                      <wps:wsp>
                        <wps:cNvPr id="116" name="Textbox 116"/>
                        <wps:cNvSpPr txBox="1"/>
                        <wps:spPr>
                          <a:xfrm>
                            <a:off x="1027557" y="1160167"/>
                            <a:ext cx="81915" cy="132080"/>
                          </a:xfrm>
                          <a:prstGeom prst="rect">
                            <a:avLst/>
                          </a:prstGeom>
                        </wps:spPr>
                        <wps:txbx>
                          <w:txbxContent>
                            <w:p>
                              <w:pPr>
                                <w:spacing w:line="208" w:lineRule="exact" w:before="0"/>
                                <w:ind w:left="0" w:right="0" w:firstLine="0"/>
                                <w:jc w:val="left"/>
                                <w:rPr>
                                  <w:rFonts w:ascii="Calibri"/>
                                  <w:sz w:val="20"/>
                                </w:rPr>
                              </w:pPr>
                              <w:r>
                                <w:rPr>
                                  <w:rFonts w:ascii="Calibri"/>
                                  <w:spacing w:val="-10"/>
                                  <w:w w:val="105"/>
                                  <w:sz w:val="20"/>
                                </w:rPr>
                                <w:t>b</w:t>
                              </w:r>
                            </w:p>
                          </w:txbxContent>
                        </wps:txbx>
                        <wps:bodyPr wrap="square" lIns="0" tIns="0" rIns="0" bIns="0" rtlCol="0">
                          <a:noAutofit/>
                        </wps:bodyPr>
                      </wps:wsp>
                      <wps:wsp>
                        <wps:cNvPr id="117" name="Textbox 117"/>
                        <wps:cNvSpPr txBox="1"/>
                        <wps:spPr>
                          <a:xfrm>
                            <a:off x="564261" y="3282124"/>
                            <a:ext cx="81280" cy="143510"/>
                          </a:xfrm>
                          <a:prstGeom prst="rect">
                            <a:avLst/>
                          </a:prstGeom>
                        </wps:spPr>
                        <wps:txbx>
                          <w:txbxContent>
                            <w:p>
                              <w:pPr>
                                <w:spacing w:line="226" w:lineRule="exact" w:before="0"/>
                                <w:ind w:left="0" w:right="0" w:firstLine="0"/>
                                <w:jc w:val="left"/>
                                <w:rPr>
                                  <w:rFonts w:ascii="Calibri"/>
                                  <w:sz w:val="22"/>
                                </w:rPr>
                              </w:pPr>
                              <w:r>
                                <w:rPr>
                                  <w:rFonts w:ascii="Calibri"/>
                                  <w:spacing w:val="-10"/>
                                  <w:sz w:val="22"/>
                                </w:rPr>
                                <w:t>a</w:t>
                              </w:r>
                            </w:p>
                          </w:txbxContent>
                        </wps:txbx>
                        <wps:bodyPr wrap="square" lIns="0" tIns="0" rIns="0" bIns="0" rtlCol="0">
                          <a:noAutofit/>
                        </wps:bodyPr>
                      </wps:wsp>
                    </wpg:wgp>
                  </a:graphicData>
                </a:graphic>
              </wp:anchor>
            </w:drawing>
          </mc:Choice>
          <mc:Fallback>
            <w:pict>
              <v:group style="position:absolute;margin-left:161.970001pt;margin-top:-3.181997pt;width:366pt;height:345pt;mso-position-horizontal-relative:page;mso-position-vertical-relative:paragraph;z-index:15738368" id="docshapegroup85" coordorigin="3239,-64" coordsize="7320,6900">
                <v:rect style="position:absolute;left:3811;top:5775;width:693;height:988" id="docshape86" filled="true" fillcolor="#9999ff" stroked="false">
                  <v:fill type="solid"/>
                </v:rect>
                <v:rect style="position:absolute;left:3811;top:5775;width:693;height:988" id="docshape87" filled="false" stroked="true" strokeweight=".68465pt" strokecolor="#000000">
                  <v:stroke dashstyle="solid"/>
                </v:rect>
                <v:rect style="position:absolute;left:6232;top:1386;width:692;height:5378" id="docshape88" filled="true" fillcolor="#9999ff" stroked="false">
                  <v:fill type="solid"/>
                </v:rect>
                <v:rect style="position:absolute;left:6232;top:1386;width:692;height:5378" id="docshape89" filled="false" stroked="true" strokeweight=".68465pt" strokecolor="#000000">
                  <v:stroke dashstyle="solid"/>
                </v:rect>
                <v:rect style="position:absolute;left:8652;top:2786;width:693;height:3977" id="docshape90" filled="true" fillcolor="#9999ff" stroked="false">
                  <v:fill type="solid"/>
                </v:rect>
                <v:rect style="position:absolute;left:8652;top:2786;width:693;height:3977" id="docshape91" filled="false" stroked="true" strokeweight=".68465pt" strokecolor="#000000">
                  <v:stroke dashstyle="solid"/>
                </v:rect>
                <v:rect style="position:absolute;left:4504;top:3197;width:692;height:3566" id="docshape92" filled="true" fillcolor="#993366" stroked="false">
                  <v:fill type="solid"/>
                </v:rect>
                <v:rect style="position:absolute;left:4504;top:3197;width:692;height:3566" id="docshape93" filled="false" stroked="true" strokeweight=".68465pt" strokecolor="#000000">
                  <v:stroke dashstyle="solid"/>
                </v:rect>
                <v:rect style="position:absolute;left:6924;top:2962;width:692;height:3801" id="docshape94" filled="true" fillcolor="#993366" stroked="false">
                  <v:fill type="solid"/>
                </v:rect>
                <v:rect style="position:absolute;left:6924;top:2962;width:692;height:3801" id="docshape95" filled="false" stroked="true" strokeweight=".68465pt" strokecolor="#000000">
                  <v:stroke dashstyle="solid"/>
                </v:rect>
                <v:rect style="position:absolute;left:9345;top:1844;width:692;height:4920" id="docshape96" filled="true" fillcolor="#993366" stroked="false">
                  <v:fill type="solid"/>
                </v:rect>
                <v:rect style="position:absolute;left:9345;top:1844;width:692;height:4920" id="docshape97" filled="false" stroked="true" strokeweight=".68465pt" strokecolor="#000000">
                  <v:stroke dashstyle="solid"/>
                </v:rect>
                <v:shape style="position:absolute;left:4127;top:715;width:5595;height:5172" id="docshape98" coordorigin="4128,715" coordsize="5595,5172" path="m4158,5776l4158,5666m4128,5666l4189,5666m6578,1386l6578,768m6548,768l6609,768m8999,2787l8999,1674m8969,1674l9030,1674m4158,5776l4158,5887m4128,5887l4189,5887m6578,1386l6578,2004m6548,2004l6609,2004m8999,2787l8999,3898m8969,3898l9030,3898m4849,3198l4849,2255m4819,2255l4881,2255m7269,2963l7269,1748m7239,1748l7301,1748m9691,1844l9691,715m9661,715l9722,715m4849,3198l4849,4140m4819,4140l4881,4140m7269,2963l7269,4177m7239,4177l7301,4177m9691,1844l9691,2971m9661,2971l9722,2971e" filled="false" stroked="true" strokeweight=".68465pt" strokecolor="#000000">
                  <v:path arrowok="t"/>
                  <v:stroke dashstyle="solid"/>
                </v:shape>
                <v:shape style="position:absolute;left:3239;top:-62;width:7317;height:6897" id="docshape99" coordorigin="3239,-61" coordsize="7317,6897" path="m3293,134l3293,6763m3239,6763l3293,6763m3239,6026l3293,6026m3239,5290l3293,5290m3239,4553l3293,4553m3239,3817l3293,3817m3239,3080l3293,3080m3239,2345l3293,2345m3239,1607l3293,1607m3239,872l3293,872m3239,134l3293,134m3293,6763l10556,6763m3293,6836l3293,6763m5715,6836l5715,6763m8135,6836l8135,6763m10556,6836l10556,6763m7276,-61l7951,-61,7951,588,7276,588,7276,-61xe" filled="false" stroked="true" strokeweight=".24pt" strokecolor="#000000">
                  <v:path arrowok="t"/>
                  <v:stroke dashstyle="solid"/>
                </v:shape>
                <v:rect style="position:absolute;left:7329;top:40;width:105;height:143" id="docshape100" filled="true" fillcolor="#9999ff" stroked="false">
                  <v:fill type="solid"/>
                </v:rect>
                <v:rect style="position:absolute;left:7329;top:40;width:105;height:143" id="docshape101" filled="false" stroked="true" strokeweight=".68465pt" strokecolor="#000000">
                  <v:stroke dashstyle="solid"/>
                </v:rect>
                <v:rect style="position:absolute;left:7329;top:365;width:105;height:143" id="docshape102" filled="true" fillcolor="#993366" stroked="false">
                  <v:fill type="solid"/>
                </v:rect>
                <v:rect style="position:absolute;left:7329;top:365;width:105;height:143" id="docshape103" filled="false" stroked="true" strokeweight=".68465pt" strokecolor="#000000">
                  <v:stroke dashstyle="solid"/>
                </v:rect>
                <v:shape style="position:absolute;left:7473;top:-13;width:449;height:580" type="#_x0000_t202" id="docshape104" filled="false" stroked="false">
                  <v:textbox inset="0,0,0,0">
                    <w:txbxContent>
                      <w:p>
                        <w:pPr>
                          <w:spacing w:line="254" w:lineRule="exact" w:before="0"/>
                          <w:ind w:left="0" w:right="0" w:firstLine="0"/>
                          <w:jc w:val="left"/>
                          <w:rPr>
                            <w:b/>
                            <w:sz w:val="23"/>
                          </w:rPr>
                        </w:pPr>
                        <w:r>
                          <w:rPr>
                            <w:b/>
                            <w:w w:val="70"/>
                            <w:sz w:val="23"/>
                          </w:rPr>
                          <w:t>Day-</w:t>
                        </w:r>
                        <w:r>
                          <w:rPr>
                            <w:b/>
                            <w:spacing w:val="-10"/>
                            <w:w w:val="80"/>
                            <w:sz w:val="23"/>
                          </w:rPr>
                          <w:t>1</w:t>
                        </w:r>
                      </w:p>
                      <w:p>
                        <w:pPr>
                          <w:spacing w:line="264" w:lineRule="exact" w:before="62"/>
                          <w:ind w:left="0" w:right="0" w:firstLine="0"/>
                          <w:jc w:val="left"/>
                          <w:rPr>
                            <w:b/>
                            <w:sz w:val="23"/>
                          </w:rPr>
                        </w:pPr>
                        <w:r>
                          <w:rPr>
                            <w:b/>
                            <w:w w:val="70"/>
                            <w:sz w:val="23"/>
                          </w:rPr>
                          <w:t>Day-</w:t>
                        </w:r>
                        <w:r>
                          <w:rPr>
                            <w:b/>
                            <w:spacing w:val="-10"/>
                            <w:w w:val="80"/>
                            <w:sz w:val="23"/>
                          </w:rPr>
                          <w:t>2</w:t>
                        </w:r>
                      </w:p>
                    </w:txbxContent>
                  </v:textbox>
                  <w10:wrap type="none"/>
                </v:shape>
                <v:shape style="position:absolute;left:9657;top:208;width:129;height:208" type="#_x0000_t202" id="docshape105" filled="false" stroked="false">
                  <v:textbox inset="0,0,0,0">
                    <w:txbxContent>
                      <w:p>
                        <w:pPr>
                          <w:spacing w:line="208" w:lineRule="exact" w:before="0"/>
                          <w:ind w:left="0" w:right="0" w:firstLine="0"/>
                          <w:jc w:val="left"/>
                          <w:rPr>
                            <w:rFonts w:ascii="Calibri"/>
                            <w:sz w:val="20"/>
                          </w:rPr>
                        </w:pPr>
                        <w:r>
                          <w:rPr>
                            <w:rFonts w:ascii="Calibri"/>
                            <w:spacing w:val="-10"/>
                            <w:w w:val="105"/>
                            <w:sz w:val="20"/>
                          </w:rPr>
                          <w:t>b</w:t>
                        </w:r>
                      </w:p>
                    </w:txbxContent>
                  </v:textbox>
                  <w10:wrap type="none"/>
                </v:shape>
                <v:shape style="position:absolute;left:8985;top:1225;width:120;height:208" type="#_x0000_t202" id="docshape106" filled="false" stroked="false">
                  <v:textbox inset="0,0,0,0">
                    <w:txbxContent>
                      <w:p>
                        <w:pPr>
                          <w:spacing w:line="208" w:lineRule="exact" w:before="0"/>
                          <w:ind w:left="0" w:right="0" w:firstLine="0"/>
                          <w:jc w:val="left"/>
                          <w:rPr>
                            <w:rFonts w:ascii="Calibri"/>
                            <w:sz w:val="20"/>
                          </w:rPr>
                        </w:pPr>
                        <w:r>
                          <w:rPr>
                            <w:rFonts w:ascii="Calibri"/>
                            <w:spacing w:val="-10"/>
                            <w:w w:val="105"/>
                            <w:sz w:val="20"/>
                          </w:rPr>
                          <w:t>a</w:t>
                        </w:r>
                      </w:p>
                    </w:txbxContent>
                  </v:textbox>
                  <w10:wrap type="none"/>
                </v:shape>
                <v:shape style="position:absolute;left:4857;top:1763;width:129;height:208" type="#_x0000_t202" id="docshape107" filled="false" stroked="false">
                  <v:textbox inset="0,0,0,0">
                    <w:txbxContent>
                      <w:p>
                        <w:pPr>
                          <w:spacing w:line="208" w:lineRule="exact" w:before="0"/>
                          <w:ind w:left="0" w:right="0" w:firstLine="0"/>
                          <w:jc w:val="left"/>
                          <w:rPr>
                            <w:rFonts w:ascii="Calibri"/>
                            <w:sz w:val="20"/>
                          </w:rPr>
                        </w:pPr>
                        <w:r>
                          <w:rPr>
                            <w:rFonts w:ascii="Calibri"/>
                            <w:spacing w:val="-10"/>
                            <w:w w:val="105"/>
                            <w:sz w:val="20"/>
                          </w:rPr>
                          <w:t>b</w:t>
                        </w:r>
                      </w:p>
                    </w:txbxContent>
                  </v:textbox>
                  <w10:wrap type="none"/>
                </v:shape>
                <v:shape style="position:absolute;left:4128;top:5105;width:128;height:226" type="#_x0000_t202" id="docshape108" filled="false" stroked="false">
                  <v:textbox inset="0,0,0,0">
                    <w:txbxContent>
                      <w:p>
                        <w:pPr>
                          <w:spacing w:line="226" w:lineRule="exact" w:before="0"/>
                          <w:ind w:left="0" w:right="0" w:firstLine="0"/>
                          <w:jc w:val="left"/>
                          <w:rPr>
                            <w:rFonts w:ascii="Calibri"/>
                            <w:sz w:val="22"/>
                          </w:rPr>
                        </w:pPr>
                        <w:r>
                          <w:rPr>
                            <w:rFonts w:ascii="Calibri"/>
                            <w:spacing w:val="-10"/>
                            <w:sz w:val="22"/>
                          </w:rPr>
                          <w:t>a</w:t>
                        </w:r>
                      </w:p>
                    </w:txbxContent>
                  </v:textbox>
                  <w10:wrap type="none"/>
                </v:shape>
                <w10:wrap type="none"/>
              </v:group>
            </w:pict>
          </mc:Fallback>
        </mc:AlternateContent>
      </w:r>
      <w:r>
        <w:rPr>
          <w:b/>
          <w:spacing w:val="-5"/>
          <w:w w:val="85"/>
          <w:sz w:val="23"/>
        </w:rPr>
        <w:t>90</w:t>
      </w:r>
    </w:p>
    <w:p>
      <w:pPr>
        <w:pStyle w:val="BodyText"/>
        <w:spacing w:before="210"/>
        <w:rPr>
          <w:b/>
          <w:sz w:val="23"/>
        </w:rPr>
      </w:pPr>
    </w:p>
    <w:p>
      <w:pPr>
        <w:spacing w:before="0"/>
        <w:ind w:left="1270" w:right="0" w:firstLine="0"/>
        <w:jc w:val="left"/>
        <w:rPr>
          <w:b/>
          <w:sz w:val="23"/>
        </w:rPr>
      </w:pPr>
      <w:r>
        <w:rPr>
          <w:b/>
          <w:spacing w:val="-5"/>
          <w:w w:val="85"/>
          <w:sz w:val="23"/>
        </w:rPr>
        <w:t>80</w:t>
      </w:r>
    </w:p>
    <w:p>
      <w:pPr>
        <w:pStyle w:val="BodyText"/>
        <w:spacing w:before="206"/>
        <w:rPr>
          <w:b/>
          <w:sz w:val="23"/>
        </w:rPr>
      </w:pPr>
    </w:p>
    <w:p>
      <w:pPr>
        <w:spacing w:before="0"/>
        <w:ind w:left="1270" w:right="0" w:firstLine="0"/>
        <w:jc w:val="left"/>
        <w:rPr>
          <w:b/>
          <w:sz w:val="23"/>
        </w:rPr>
      </w:pPr>
      <w:r>
        <w:rPr>
          <w:b/>
          <w:spacing w:val="-5"/>
          <w:w w:val="85"/>
          <w:sz w:val="23"/>
        </w:rPr>
        <w:t>70</w:t>
      </w:r>
    </w:p>
    <w:p>
      <w:pPr>
        <w:pStyle w:val="BodyText"/>
        <w:spacing w:before="210"/>
        <w:rPr>
          <w:b/>
          <w:sz w:val="23"/>
        </w:rPr>
      </w:pPr>
    </w:p>
    <w:p>
      <w:pPr>
        <w:spacing w:before="0"/>
        <w:ind w:left="1270" w:right="0" w:firstLine="0"/>
        <w:jc w:val="left"/>
        <w:rPr>
          <w:b/>
          <w:sz w:val="23"/>
        </w:rPr>
      </w:pPr>
      <w:r>
        <w:rPr/>
        <mc:AlternateContent>
          <mc:Choice Requires="wps">
            <w:drawing>
              <wp:anchor distT="0" distB="0" distL="0" distR="0" allowOverlap="1" layoutInCell="1" locked="0" behindDoc="0" simplePos="0" relativeHeight="15738880">
                <wp:simplePos x="0" y="0"/>
                <wp:positionH relativeFrom="page">
                  <wp:posOffset>1700209</wp:posOffset>
                </wp:positionH>
                <wp:positionV relativeFrom="paragraph">
                  <wp:posOffset>-158878</wp:posOffset>
                </wp:positionV>
                <wp:extent cx="211454" cy="1905635"/>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a:off x="0" y="0"/>
                          <a:ext cx="211454" cy="1905635"/>
                        </a:xfrm>
                        <a:prstGeom prst="rect">
                          <a:avLst/>
                        </a:prstGeom>
                      </wps:spPr>
                      <wps:txbx>
                        <w:txbxContent>
                          <w:p>
                            <w:pPr>
                              <w:spacing w:before="12"/>
                              <w:ind w:left="20" w:right="0" w:firstLine="0"/>
                              <w:jc w:val="left"/>
                              <w:rPr>
                                <w:b/>
                                <w:sz w:val="26"/>
                              </w:rPr>
                            </w:pPr>
                            <w:r>
                              <w:rPr>
                                <w:b/>
                                <w:w w:val="75"/>
                                <w:sz w:val="26"/>
                              </w:rPr>
                              <w:t>T r</w:t>
                            </w:r>
                            <w:r>
                              <w:rPr>
                                <w:b/>
                                <w:spacing w:val="-20"/>
                                <w:w w:val="75"/>
                                <w:sz w:val="26"/>
                              </w:rPr>
                              <w:t> </w:t>
                            </w:r>
                            <w:r>
                              <w:rPr>
                                <w:b/>
                                <w:w w:val="75"/>
                                <w:sz w:val="26"/>
                              </w:rPr>
                              <w:t>a</w:t>
                            </w:r>
                            <w:r>
                              <w:rPr>
                                <w:b/>
                                <w:spacing w:val="-11"/>
                                <w:w w:val="75"/>
                                <w:sz w:val="26"/>
                              </w:rPr>
                              <w:t> </w:t>
                            </w:r>
                            <w:r>
                              <w:rPr>
                                <w:b/>
                                <w:w w:val="75"/>
                                <w:sz w:val="26"/>
                              </w:rPr>
                              <w:t>n</w:t>
                            </w:r>
                            <w:r>
                              <w:rPr>
                                <w:b/>
                                <w:spacing w:val="-8"/>
                                <w:w w:val="75"/>
                                <w:sz w:val="26"/>
                              </w:rPr>
                              <w:t> </w:t>
                            </w:r>
                            <w:r>
                              <w:rPr>
                                <w:b/>
                                <w:w w:val="75"/>
                                <w:sz w:val="26"/>
                              </w:rPr>
                              <w:t>s</w:t>
                            </w:r>
                            <w:r>
                              <w:rPr>
                                <w:b/>
                                <w:spacing w:val="-23"/>
                                <w:w w:val="75"/>
                                <w:sz w:val="26"/>
                              </w:rPr>
                              <w:t> </w:t>
                            </w:r>
                            <w:r>
                              <w:rPr>
                                <w:b/>
                                <w:spacing w:val="11"/>
                                <w:w w:val="75"/>
                                <w:sz w:val="26"/>
                              </w:rPr>
                              <w:t>fe</w:t>
                            </w:r>
                            <w:r>
                              <w:rPr>
                                <w:b/>
                                <w:spacing w:val="-15"/>
                                <w:w w:val="75"/>
                                <w:sz w:val="26"/>
                              </w:rPr>
                              <w:t> </w:t>
                            </w:r>
                            <w:r>
                              <w:rPr>
                                <w:b/>
                                <w:w w:val="75"/>
                                <w:sz w:val="26"/>
                              </w:rPr>
                              <w:t>r</w:t>
                            </w:r>
                            <w:r>
                              <w:rPr>
                                <w:b/>
                                <w:spacing w:val="-3"/>
                                <w:sz w:val="26"/>
                              </w:rPr>
                              <w:t> </w:t>
                            </w:r>
                            <w:r>
                              <w:rPr>
                                <w:b/>
                                <w:w w:val="75"/>
                                <w:sz w:val="26"/>
                              </w:rPr>
                              <w:t>L</w:t>
                            </w:r>
                            <w:r>
                              <w:rPr>
                                <w:b/>
                                <w:spacing w:val="-16"/>
                                <w:sz w:val="26"/>
                              </w:rPr>
                              <w:t> </w:t>
                            </w:r>
                            <w:r>
                              <w:rPr>
                                <w:b/>
                                <w:w w:val="75"/>
                                <w:sz w:val="26"/>
                              </w:rPr>
                              <w:t>a</w:t>
                            </w:r>
                            <w:r>
                              <w:rPr>
                                <w:b/>
                                <w:spacing w:val="-11"/>
                                <w:w w:val="75"/>
                                <w:sz w:val="26"/>
                              </w:rPr>
                              <w:t> </w:t>
                            </w:r>
                            <w:r>
                              <w:rPr>
                                <w:b/>
                                <w:spacing w:val="11"/>
                                <w:w w:val="75"/>
                                <w:sz w:val="26"/>
                              </w:rPr>
                              <w:t>te</w:t>
                            </w:r>
                            <w:r>
                              <w:rPr>
                                <w:b/>
                                <w:spacing w:val="-20"/>
                                <w:w w:val="75"/>
                                <w:sz w:val="26"/>
                              </w:rPr>
                              <w:t> </w:t>
                            </w:r>
                            <w:r>
                              <w:rPr>
                                <w:b/>
                                <w:w w:val="75"/>
                                <w:sz w:val="26"/>
                              </w:rPr>
                              <w:t>n</w:t>
                            </w:r>
                            <w:r>
                              <w:rPr>
                                <w:b/>
                                <w:spacing w:val="-7"/>
                                <w:w w:val="75"/>
                                <w:sz w:val="26"/>
                              </w:rPr>
                              <w:t> </w:t>
                            </w:r>
                            <w:r>
                              <w:rPr>
                                <w:b/>
                                <w:w w:val="75"/>
                                <w:sz w:val="26"/>
                              </w:rPr>
                              <w:t>c</w:t>
                            </w:r>
                            <w:r>
                              <w:rPr>
                                <w:b/>
                                <w:spacing w:val="-20"/>
                                <w:w w:val="75"/>
                                <w:sz w:val="26"/>
                              </w:rPr>
                              <w:t> </w:t>
                            </w:r>
                            <w:r>
                              <w:rPr>
                                <w:b/>
                                <w:w w:val="75"/>
                                <w:sz w:val="26"/>
                              </w:rPr>
                              <w:t>y</w:t>
                            </w:r>
                            <w:r>
                              <w:rPr>
                                <w:b/>
                                <w:spacing w:val="20"/>
                                <w:sz w:val="26"/>
                              </w:rPr>
                              <w:t> </w:t>
                            </w:r>
                            <w:r>
                              <w:rPr>
                                <w:b/>
                                <w:w w:val="75"/>
                                <w:sz w:val="26"/>
                              </w:rPr>
                              <w:t>(</w:t>
                            </w:r>
                            <w:r>
                              <w:rPr>
                                <w:b/>
                                <w:spacing w:val="-27"/>
                                <w:w w:val="75"/>
                                <w:sz w:val="26"/>
                              </w:rPr>
                              <w:t> </w:t>
                            </w:r>
                            <w:r>
                              <w:rPr>
                                <w:b/>
                                <w:w w:val="75"/>
                                <w:sz w:val="26"/>
                              </w:rPr>
                              <w:t>s</w:t>
                            </w:r>
                            <w:r>
                              <w:rPr>
                                <w:b/>
                                <w:spacing w:val="-19"/>
                                <w:w w:val="75"/>
                                <w:sz w:val="26"/>
                              </w:rPr>
                              <w:t> </w:t>
                            </w:r>
                            <w:r>
                              <w:rPr>
                                <w:b/>
                                <w:w w:val="75"/>
                                <w:sz w:val="26"/>
                              </w:rPr>
                              <w:t>e</w:t>
                            </w:r>
                            <w:r>
                              <w:rPr>
                                <w:b/>
                                <w:spacing w:val="-20"/>
                                <w:w w:val="75"/>
                                <w:sz w:val="26"/>
                              </w:rPr>
                              <w:t> </w:t>
                            </w:r>
                            <w:r>
                              <w:rPr>
                                <w:b/>
                                <w:w w:val="75"/>
                                <w:sz w:val="26"/>
                              </w:rPr>
                              <w:t>c</w:t>
                            </w:r>
                            <w:r>
                              <w:rPr>
                                <w:b/>
                                <w:spacing w:val="-14"/>
                                <w:w w:val="75"/>
                                <w:sz w:val="26"/>
                              </w:rPr>
                              <w:t> </w:t>
                            </w:r>
                            <w:r>
                              <w:rPr>
                                <w:b/>
                                <w:w w:val="75"/>
                                <w:sz w:val="26"/>
                              </w:rPr>
                              <w:t>o</w:t>
                            </w:r>
                            <w:r>
                              <w:rPr>
                                <w:b/>
                                <w:spacing w:val="-11"/>
                                <w:w w:val="75"/>
                                <w:sz w:val="26"/>
                              </w:rPr>
                              <w:t> </w:t>
                            </w:r>
                            <w:r>
                              <w:rPr>
                                <w:b/>
                                <w:w w:val="75"/>
                                <w:sz w:val="26"/>
                              </w:rPr>
                              <w:t>n</w:t>
                            </w:r>
                            <w:r>
                              <w:rPr>
                                <w:b/>
                                <w:spacing w:val="-13"/>
                                <w:w w:val="75"/>
                                <w:sz w:val="26"/>
                              </w:rPr>
                              <w:t> </w:t>
                            </w:r>
                            <w:r>
                              <w:rPr>
                                <w:b/>
                                <w:w w:val="75"/>
                                <w:sz w:val="26"/>
                              </w:rPr>
                              <w:t>d</w:t>
                            </w:r>
                            <w:r>
                              <w:rPr>
                                <w:b/>
                                <w:spacing w:val="-8"/>
                                <w:w w:val="75"/>
                                <w:sz w:val="26"/>
                              </w:rPr>
                              <w:t> </w:t>
                            </w:r>
                            <w:r>
                              <w:rPr>
                                <w:b/>
                                <w:spacing w:val="-10"/>
                                <w:w w:val="75"/>
                                <w:sz w:val="26"/>
                              </w:rPr>
                              <w:t>)</w:t>
                            </w:r>
                          </w:p>
                        </w:txbxContent>
                      </wps:txbx>
                      <wps:bodyPr wrap="square" lIns="0" tIns="0" rIns="0" bIns="0" rtlCol="0" vert="vert270">
                        <a:noAutofit/>
                      </wps:bodyPr>
                    </wps:wsp>
                  </a:graphicData>
                </a:graphic>
              </wp:anchor>
            </w:drawing>
          </mc:Choice>
          <mc:Fallback>
            <w:pict>
              <v:shape style="position:absolute;margin-left:133.874756pt;margin-top:-12.51011pt;width:16.650pt;height:150.050pt;mso-position-horizontal-relative:page;mso-position-vertical-relative:paragraph;z-index:15738880" type="#_x0000_t202" id="docshape109" filled="false" stroked="false">
                <v:textbox inset="0,0,0,0" style="layout-flow:vertical;mso-layout-flow-alt:bottom-to-top">
                  <w:txbxContent>
                    <w:p>
                      <w:pPr>
                        <w:spacing w:before="12"/>
                        <w:ind w:left="20" w:right="0" w:firstLine="0"/>
                        <w:jc w:val="left"/>
                        <w:rPr>
                          <w:b/>
                          <w:sz w:val="26"/>
                        </w:rPr>
                      </w:pPr>
                      <w:r>
                        <w:rPr>
                          <w:b/>
                          <w:w w:val="75"/>
                          <w:sz w:val="26"/>
                        </w:rPr>
                        <w:t>T r</w:t>
                      </w:r>
                      <w:r>
                        <w:rPr>
                          <w:b/>
                          <w:spacing w:val="-20"/>
                          <w:w w:val="75"/>
                          <w:sz w:val="26"/>
                        </w:rPr>
                        <w:t> </w:t>
                      </w:r>
                      <w:r>
                        <w:rPr>
                          <w:b/>
                          <w:w w:val="75"/>
                          <w:sz w:val="26"/>
                        </w:rPr>
                        <w:t>a</w:t>
                      </w:r>
                      <w:r>
                        <w:rPr>
                          <w:b/>
                          <w:spacing w:val="-11"/>
                          <w:w w:val="75"/>
                          <w:sz w:val="26"/>
                        </w:rPr>
                        <w:t> </w:t>
                      </w:r>
                      <w:r>
                        <w:rPr>
                          <w:b/>
                          <w:w w:val="75"/>
                          <w:sz w:val="26"/>
                        </w:rPr>
                        <w:t>n</w:t>
                      </w:r>
                      <w:r>
                        <w:rPr>
                          <w:b/>
                          <w:spacing w:val="-8"/>
                          <w:w w:val="75"/>
                          <w:sz w:val="26"/>
                        </w:rPr>
                        <w:t> </w:t>
                      </w:r>
                      <w:r>
                        <w:rPr>
                          <w:b/>
                          <w:w w:val="75"/>
                          <w:sz w:val="26"/>
                        </w:rPr>
                        <w:t>s</w:t>
                      </w:r>
                      <w:r>
                        <w:rPr>
                          <w:b/>
                          <w:spacing w:val="-23"/>
                          <w:w w:val="75"/>
                          <w:sz w:val="26"/>
                        </w:rPr>
                        <w:t> </w:t>
                      </w:r>
                      <w:r>
                        <w:rPr>
                          <w:b/>
                          <w:spacing w:val="11"/>
                          <w:w w:val="75"/>
                          <w:sz w:val="26"/>
                        </w:rPr>
                        <w:t>fe</w:t>
                      </w:r>
                      <w:r>
                        <w:rPr>
                          <w:b/>
                          <w:spacing w:val="-15"/>
                          <w:w w:val="75"/>
                          <w:sz w:val="26"/>
                        </w:rPr>
                        <w:t> </w:t>
                      </w:r>
                      <w:r>
                        <w:rPr>
                          <w:b/>
                          <w:w w:val="75"/>
                          <w:sz w:val="26"/>
                        </w:rPr>
                        <w:t>r</w:t>
                      </w:r>
                      <w:r>
                        <w:rPr>
                          <w:b/>
                          <w:spacing w:val="-3"/>
                          <w:sz w:val="26"/>
                        </w:rPr>
                        <w:t> </w:t>
                      </w:r>
                      <w:r>
                        <w:rPr>
                          <w:b/>
                          <w:w w:val="75"/>
                          <w:sz w:val="26"/>
                        </w:rPr>
                        <w:t>L</w:t>
                      </w:r>
                      <w:r>
                        <w:rPr>
                          <w:b/>
                          <w:spacing w:val="-16"/>
                          <w:sz w:val="26"/>
                        </w:rPr>
                        <w:t> </w:t>
                      </w:r>
                      <w:r>
                        <w:rPr>
                          <w:b/>
                          <w:w w:val="75"/>
                          <w:sz w:val="26"/>
                        </w:rPr>
                        <w:t>a</w:t>
                      </w:r>
                      <w:r>
                        <w:rPr>
                          <w:b/>
                          <w:spacing w:val="-11"/>
                          <w:w w:val="75"/>
                          <w:sz w:val="26"/>
                        </w:rPr>
                        <w:t> </w:t>
                      </w:r>
                      <w:r>
                        <w:rPr>
                          <w:b/>
                          <w:spacing w:val="11"/>
                          <w:w w:val="75"/>
                          <w:sz w:val="26"/>
                        </w:rPr>
                        <w:t>te</w:t>
                      </w:r>
                      <w:r>
                        <w:rPr>
                          <w:b/>
                          <w:spacing w:val="-20"/>
                          <w:w w:val="75"/>
                          <w:sz w:val="26"/>
                        </w:rPr>
                        <w:t> </w:t>
                      </w:r>
                      <w:r>
                        <w:rPr>
                          <w:b/>
                          <w:w w:val="75"/>
                          <w:sz w:val="26"/>
                        </w:rPr>
                        <w:t>n</w:t>
                      </w:r>
                      <w:r>
                        <w:rPr>
                          <w:b/>
                          <w:spacing w:val="-7"/>
                          <w:w w:val="75"/>
                          <w:sz w:val="26"/>
                        </w:rPr>
                        <w:t> </w:t>
                      </w:r>
                      <w:r>
                        <w:rPr>
                          <w:b/>
                          <w:w w:val="75"/>
                          <w:sz w:val="26"/>
                        </w:rPr>
                        <w:t>c</w:t>
                      </w:r>
                      <w:r>
                        <w:rPr>
                          <w:b/>
                          <w:spacing w:val="-20"/>
                          <w:w w:val="75"/>
                          <w:sz w:val="26"/>
                        </w:rPr>
                        <w:t> </w:t>
                      </w:r>
                      <w:r>
                        <w:rPr>
                          <w:b/>
                          <w:w w:val="75"/>
                          <w:sz w:val="26"/>
                        </w:rPr>
                        <w:t>y</w:t>
                      </w:r>
                      <w:r>
                        <w:rPr>
                          <w:b/>
                          <w:spacing w:val="20"/>
                          <w:sz w:val="26"/>
                        </w:rPr>
                        <w:t> </w:t>
                      </w:r>
                      <w:r>
                        <w:rPr>
                          <w:b/>
                          <w:w w:val="75"/>
                          <w:sz w:val="26"/>
                        </w:rPr>
                        <w:t>(</w:t>
                      </w:r>
                      <w:r>
                        <w:rPr>
                          <w:b/>
                          <w:spacing w:val="-27"/>
                          <w:w w:val="75"/>
                          <w:sz w:val="26"/>
                        </w:rPr>
                        <w:t> </w:t>
                      </w:r>
                      <w:r>
                        <w:rPr>
                          <w:b/>
                          <w:w w:val="75"/>
                          <w:sz w:val="26"/>
                        </w:rPr>
                        <w:t>s</w:t>
                      </w:r>
                      <w:r>
                        <w:rPr>
                          <w:b/>
                          <w:spacing w:val="-19"/>
                          <w:w w:val="75"/>
                          <w:sz w:val="26"/>
                        </w:rPr>
                        <w:t> </w:t>
                      </w:r>
                      <w:r>
                        <w:rPr>
                          <w:b/>
                          <w:w w:val="75"/>
                          <w:sz w:val="26"/>
                        </w:rPr>
                        <w:t>e</w:t>
                      </w:r>
                      <w:r>
                        <w:rPr>
                          <w:b/>
                          <w:spacing w:val="-20"/>
                          <w:w w:val="75"/>
                          <w:sz w:val="26"/>
                        </w:rPr>
                        <w:t> </w:t>
                      </w:r>
                      <w:r>
                        <w:rPr>
                          <w:b/>
                          <w:w w:val="75"/>
                          <w:sz w:val="26"/>
                        </w:rPr>
                        <w:t>c</w:t>
                      </w:r>
                      <w:r>
                        <w:rPr>
                          <w:b/>
                          <w:spacing w:val="-14"/>
                          <w:w w:val="75"/>
                          <w:sz w:val="26"/>
                        </w:rPr>
                        <w:t> </w:t>
                      </w:r>
                      <w:r>
                        <w:rPr>
                          <w:b/>
                          <w:w w:val="75"/>
                          <w:sz w:val="26"/>
                        </w:rPr>
                        <w:t>o</w:t>
                      </w:r>
                      <w:r>
                        <w:rPr>
                          <w:b/>
                          <w:spacing w:val="-11"/>
                          <w:w w:val="75"/>
                          <w:sz w:val="26"/>
                        </w:rPr>
                        <w:t> </w:t>
                      </w:r>
                      <w:r>
                        <w:rPr>
                          <w:b/>
                          <w:w w:val="75"/>
                          <w:sz w:val="26"/>
                        </w:rPr>
                        <w:t>n</w:t>
                      </w:r>
                      <w:r>
                        <w:rPr>
                          <w:b/>
                          <w:spacing w:val="-13"/>
                          <w:w w:val="75"/>
                          <w:sz w:val="26"/>
                        </w:rPr>
                        <w:t> </w:t>
                      </w:r>
                      <w:r>
                        <w:rPr>
                          <w:b/>
                          <w:w w:val="75"/>
                          <w:sz w:val="26"/>
                        </w:rPr>
                        <w:t>d</w:t>
                      </w:r>
                      <w:r>
                        <w:rPr>
                          <w:b/>
                          <w:spacing w:val="-8"/>
                          <w:w w:val="75"/>
                          <w:sz w:val="26"/>
                        </w:rPr>
                        <w:t> </w:t>
                      </w:r>
                      <w:r>
                        <w:rPr>
                          <w:b/>
                          <w:spacing w:val="-10"/>
                          <w:w w:val="75"/>
                          <w:sz w:val="26"/>
                        </w:rPr>
                        <w:t>)</w:t>
                      </w:r>
                    </w:p>
                  </w:txbxContent>
                </v:textbox>
                <w10:wrap type="none"/>
              </v:shape>
            </w:pict>
          </mc:Fallback>
        </mc:AlternateContent>
      </w:r>
      <w:r>
        <w:rPr>
          <w:b/>
          <w:spacing w:val="-5"/>
          <w:w w:val="85"/>
          <w:sz w:val="23"/>
        </w:rPr>
        <w:t>60</w:t>
      </w:r>
    </w:p>
    <w:p>
      <w:pPr>
        <w:pStyle w:val="BodyText"/>
        <w:spacing w:before="205"/>
        <w:rPr>
          <w:b/>
          <w:sz w:val="23"/>
        </w:rPr>
      </w:pPr>
    </w:p>
    <w:p>
      <w:pPr>
        <w:spacing w:before="0"/>
        <w:ind w:left="1270" w:right="0" w:firstLine="0"/>
        <w:jc w:val="left"/>
        <w:rPr>
          <w:b/>
          <w:sz w:val="23"/>
        </w:rPr>
      </w:pPr>
      <w:r>
        <w:rPr>
          <w:b/>
          <w:spacing w:val="-5"/>
          <w:w w:val="85"/>
          <w:sz w:val="23"/>
        </w:rPr>
        <w:t>50</w:t>
      </w:r>
    </w:p>
    <w:p>
      <w:pPr>
        <w:pStyle w:val="BodyText"/>
        <w:spacing w:before="206"/>
        <w:rPr>
          <w:b/>
          <w:sz w:val="23"/>
        </w:rPr>
      </w:pPr>
    </w:p>
    <w:p>
      <w:pPr>
        <w:spacing w:before="0"/>
        <w:ind w:left="1270" w:right="0" w:firstLine="0"/>
        <w:jc w:val="left"/>
        <w:rPr>
          <w:b/>
          <w:sz w:val="23"/>
        </w:rPr>
      </w:pPr>
      <w:r>
        <w:rPr>
          <w:b/>
          <w:spacing w:val="-5"/>
          <w:w w:val="85"/>
          <w:sz w:val="23"/>
        </w:rPr>
        <w:t>40</w:t>
      </w:r>
    </w:p>
    <w:p>
      <w:pPr>
        <w:pStyle w:val="BodyText"/>
        <w:spacing w:before="210"/>
        <w:rPr>
          <w:b/>
          <w:sz w:val="23"/>
        </w:rPr>
      </w:pPr>
    </w:p>
    <w:p>
      <w:pPr>
        <w:spacing w:before="0"/>
        <w:ind w:left="1270" w:right="0" w:firstLine="0"/>
        <w:jc w:val="left"/>
        <w:rPr>
          <w:b/>
          <w:sz w:val="23"/>
        </w:rPr>
      </w:pPr>
      <w:r>
        <w:rPr>
          <w:b/>
          <w:spacing w:val="-5"/>
          <w:w w:val="85"/>
          <w:sz w:val="23"/>
        </w:rPr>
        <w:t>30</w:t>
      </w:r>
    </w:p>
    <w:p>
      <w:pPr>
        <w:pStyle w:val="BodyText"/>
        <w:spacing w:before="205"/>
        <w:rPr>
          <w:b/>
          <w:sz w:val="23"/>
        </w:rPr>
      </w:pPr>
    </w:p>
    <w:p>
      <w:pPr>
        <w:spacing w:before="1"/>
        <w:ind w:left="1270" w:right="0" w:firstLine="0"/>
        <w:jc w:val="left"/>
        <w:rPr>
          <w:b/>
          <w:sz w:val="23"/>
        </w:rPr>
      </w:pPr>
      <w:r>
        <w:rPr>
          <w:b/>
          <w:spacing w:val="-5"/>
          <w:w w:val="85"/>
          <w:sz w:val="23"/>
        </w:rPr>
        <w:t>20</w:t>
      </w:r>
    </w:p>
    <w:p>
      <w:pPr>
        <w:pStyle w:val="BodyText"/>
        <w:spacing w:before="210"/>
        <w:rPr>
          <w:b/>
          <w:sz w:val="23"/>
        </w:rPr>
      </w:pPr>
    </w:p>
    <w:p>
      <w:pPr>
        <w:spacing w:before="0"/>
        <w:ind w:left="1270" w:right="0" w:firstLine="0"/>
        <w:jc w:val="left"/>
        <w:rPr>
          <w:b/>
          <w:sz w:val="23"/>
        </w:rPr>
      </w:pPr>
      <w:r>
        <w:rPr>
          <w:b/>
          <w:spacing w:val="-5"/>
          <w:w w:val="85"/>
          <w:sz w:val="23"/>
        </w:rPr>
        <w:t>10</w:t>
      </w:r>
    </w:p>
    <w:p>
      <w:pPr>
        <w:pStyle w:val="BodyText"/>
        <w:spacing w:before="205"/>
        <w:rPr>
          <w:b/>
          <w:sz w:val="23"/>
        </w:rPr>
      </w:pPr>
    </w:p>
    <w:p>
      <w:pPr>
        <w:spacing w:before="0"/>
        <w:ind w:left="1356" w:right="0" w:firstLine="0"/>
        <w:jc w:val="left"/>
        <w:rPr>
          <w:b/>
          <w:sz w:val="23"/>
        </w:rPr>
      </w:pPr>
      <w:r>
        <w:rPr>
          <w:b/>
          <w:spacing w:val="-10"/>
          <w:w w:val="85"/>
          <w:sz w:val="23"/>
        </w:rPr>
        <w:t>0</w:t>
      </w:r>
    </w:p>
    <w:p>
      <w:pPr>
        <w:tabs>
          <w:tab w:pos="4971" w:val="left" w:leader="none"/>
          <w:tab w:pos="7356" w:val="left" w:leader="none"/>
        </w:tabs>
        <w:spacing w:before="72"/>
        <w:ind w:left="2398" w:right="0" w:firstLine="0"/>
        <w:jc w:val="left"/>
        <w:rPr>
          <w:b/>
          <w:sz w:val="23"/>
        </w:rPr>
      </w:pPr>
      <w:r>
        <w:rPr>
          <w:b/>
          <w:w w:val="70"/>
          <w:sz w:val="23"/>
        </w:rPr>
        <w:t>30</w:t>
      </w:r>
      <w:r>
        <w:rPr>
          <w:b/>
          <w:spacing w:val="-10"/>
          <w:sz w:val="23"/>
        </w:rPr>
        <w:t> </w:t>
      </w:r>
      <w:r>
        <w:rPr>
          <w:b/>
          <w:spacing w:val="-2"/>
          <w:w w:val="80"/>
          <w:sz w:val="23"/>
        </w:rPr>
        <w:t>minutes</w:t>
      </w:r>
      <w:r>
        <w:rPr>
          <w:b/>
          <w:sz w:val="23"/>
        </w:rPr>
        <w:tab/>
      </w:r>
      <w:r>
        <w:rPr>
          <w:b/>
          <w:w w:val="70"/>
          <w:sz w:val="23"/>
        </w:rPr>
        <w:t>1</w:t>
      </w:r>
      <w:r>
        <w:rPr>
          <w:b/>
          <w:spacing w:val="-3"/>
          <w:w w:val="80"/>
          <w:sz w:val="23"/>
        </w:rPr>
        <w:t> </w:t>
      </w:r>
      <w:r>
        <w:rPr>
          <w:b/>
          <w:spacing w:val="-4"/>
          <w:w w:val="80"/>
          <w:sz w:val="23"/>
        </w:rPr>
        <w:t>hour</w:t>
      </w:r>
      <w:r>
        <w:rPr>
          <w:b/>
          <w:sz w:val="23"/>
        </w:rPr>
        <w:tab/>
      </w:r>
      <w:r>
        <w:rPr>
          <w:b/>
          <w:w w:val="70"/>
          <w:sz w:val="23"/>
        </w:rPr>
        <w:t>2</w:t>
      </w:r>
      <w:r>
        <w:rPr>
          <w:b/>
          <w:spacing w:val="-10"/>
          <w:sz w:val="23"/>
        </w:rPr>
        <w:t> </w:t>
      </w:r>
      <w:r>
        <w:rPr>
          <w:b/>
          <w:spacing w:val="-2"/>
          <w:w w:val="80"/>
          <w:sz w:val="23"/>
        </w:rPr>
        <w:t>hours</w:t>
      </w:r>
    </w:p>
    <w:p>
      <w:pPr>
        <w:pStyle w:val="BodyText"/>
        <w:rPr>
          <w:b/>
        </w:rPr>
      </w:pPr>
    </w:p>
    <w:p>
      <w:pPr>
        <w:pStyle w:val="BodyText"/>
        <w:rPr>
          <w:b/>
        </w:rPr>
      </w:pPr>
    </w:p>
    <w:p>
      <w:pPr>
        <w:pStyle w:val="BodyText"/>
        <w:rPr>
          <w:b/>
        </w:rPr>
      </w:pPr>
    </w:p>
    <w:p>
      <w:pPr>
        <w:pStyle w:val="BodyText"/>
        <w:spacing w:before="38"/>
        <w:rPr>
          <w:b/>
        </w:rPr>
      </w:pPr>
    </w:p>
    <w:p>
      <w:pPr>
        <w:pStyle w:val="Heading3"/>
      </w:pPr>
      <w:r>
        <w:rPr/>
        <w:t>Figure</w:t>
      </w:r>
      <w:r>
        <w:rPr>
          <w:spacing w:val="7"/>
        </w:rPr>
        <w:t> </w:t>
      </w:r>
      <w:r>
        <w:rPr/>
        <w:t>4.4:</w:t>
      </w:r>
      <w:r>
        <w:rPr>
          <w:spacing w:val="14"/>
        </w:rPr>
        <w:t> </w:t>
      </w:r>
      <w:r>
        <w:rPr/>
        <w:t>Transfer</w:t>
      </w:r>
      <w:r>
        <w:rPr>
          <w:spacing w:val="13"/>
        </w:rPr>
        <w:t> </w:t>
      </w:r>
      <w:r>
        <w:rPr/>
        <w:t>latencies</w:t>
      </w:r>
      <w:r>
        <w:rPr>
          <w:spacing w:val="11"/>
        </w:rPr>
        <w:t> </w:t>
      </w:r>
      <w:r>
        <w:rPr/>
        <w:t>of</w:t>
      </w:r>
      <w:r>
        <w:rPr>
          <w:spacing w:val="14"/>
        </w:rPr>
        <w:t> </w:t>
      </w:r>
      <w:r>
        <w:rPr/>
        <w:t>Day-1</w:t>
      </w:r>
      <w:r>
        <w:rPr>
          <w:spacing w:val="10"/>
        </w:rPr>
        <w:t> </w:t>
      </w:r>
      <w:r>
        <w:rPr/>
        <w:t>and</w:t>
      </w:r>
      <w:r>
        <w:rPr>
          <w:spacing w:val="6"/>
        </w:rPr>
        <w:t> </w:t>
      </w:r>
      <w:r>
        <w:rPr/>
        <w:t>Day-2</w:t>
      </w:r>
      <w:r>
        <w:rPr>
          <w:spacing w:val="14"/>
        </w:rPr>
        <w:t> </w:t>
      </w:r>
      <w:r>
        <w:rPr/>
        <w:t>tests</w:t>
      </w:r>
      <w:r>
        <w:rPr>
          <w:spacing w:val="17"/>
        </w:rPr>
        <w:t> </w:t>
      </w:r>
      <w:r>
        <w:rPr/>
        <w:t>in</w:t>
      </w:r>
      <w:r>
        <w:rPr>
          <w:spacing w:val="6"/>
        </w:rPr>
        <w:t> </w:t>
      </w:r>
      <w:r>
        <w:rPr/>
        <w:t>the</w:t>
      </w:r>
      <w:r>
        <w:rPr>
          <w:spacing w:val="7"/>
        </w:rPr>
        <w:t> </w:t>
      </w:r>
      <w:r>
        <w:rPr/>
        <w:t>experimental</w:t>
      </w:r>
      <w:r>
        <w:rPr>
          <w:spacing w:val="1"/>
        </w:rPr>
        <w:t> </w:t>
      </w:r>
      <w:r>
        <w:rPr>
          <w:spacing w:val="-2"/>
        </w:rPr>
        <w:t>group.</w:t>
      </w:r>
    </w:p>
    <w:p>
      <w:pPr>
        <w:pStyle w:val="BodyText"/>
        <w:spacing w:before="8"/>
        <w:rPr>
          <w:b/>
        </w:rPr>
      </w:pPr>
    </w:p>
    <w:p>
      <w:pPr>
        <w:pStyle w:val="BodyText"/>
        <w:ind w:left="665" w:right="819"/>
      </w:pPr>
      <w:r>
        <w:rPr>
          <w:vertAlign w:val="superscript"/>
        </w:rPr>
        <w:t>a,</w:t>
      </w:r>
      <w:r>
        <w:rPr>
          <w:spacing w:val="18"/>
          <w:vertAlign w:val="baseline"/>
        </w:rPr>
        <w:t> </w:t>
      </w:r>
      <w:r>
        <w:rPr>
          <w:vertAlign w:val="superscript"/>
        </w:rPr>
        <w:t>b</w:t>
      </w:r>
      <w:r>
        <w:rPr>
          <w:spacing w:val="35"/>
          <w:vertAlign w:val="baseline"/>
        </w:rPr>
        <w:t> </w:t>
      </w:r>
      <w:r>
        <w:rPr>
          <w:vertAlign w:val="baseline"/>
        </w:rPr>
        <w:t>=</w:t>
      </w:r>
      <w:r>
        <w:rPr>
          <w:spacing w:val="40"/>
          <w:vertAlign w:val="baseline"/>
        </w:rPr>
        <w:t> </w:t>
      </w:r>
      <w:r>
        <w:rPr>
          <w:vertAlign w:val="baseline"/>
        </w:rPr>
        <w:t>values</w:t>
      </w:r>
      <w:r>
        <w:rPr>
          <w:spacing w:val="37"/>
          <w:vertAlign w:val="baseline"/>
        </w:rPr>
        <w:t> </w:t>
      </w:r>
      <w:r>
        <w:rPr>
          <w:vertAlign w:val="baseline"/>
        </w:rPr>
        <w:t>with</w:t>
      </w:r>
      <w:r>
        <w:rPr>
          <w:spacing w:val="35"/>
          <w:vertAlign w:val="baseline"/>
        </w:rPr>
        <w:t> </w:t>
      </w:r>
      <w:r>
        <w:rPr>
          <w:vertAlign w:val="baseline"/>
        </w:rPr>
        <w:t>different</w:t>
      </w:r>
      <w:r>
        <w:rPr>
          <w:spacing w:val="38"/>
          <w:vertAlign w:val="baseline"/>
        </w:rPr>
        <w:t> </w:t>
      </w:r>
      <w:r>
        <w:rPr>
          <w:vertAlign w:val="baseline"/>
        </w:rPr>
        <w:t>superscript</w:t>
      </w:r>
      <w:r>
        <w:rPr>
          <w:spacing w:val="38"/>
          <w:vertAlign w:val="baseline"/>
        </w:rPr>
        <w:t> </w:t>
      </w:r>
      <w:r>
        <w:rPr>
          <w:vertAlign w:val="baseline"/>
        </w:rPr>
        <w:t>letters</w:t>
      </w:r>
      <w:r>
        <w:rPr>
          <w:spacing w:val="37"/>
          <w:vertAlign w:val="baseline"/>
        </w:rPr>
        <w:t> </w:t>
      </w:r>
      <w:r>
        <w:rPr>
          <w:vertAlign w:val="baseline"/>
        </w:rPr>
        <w:t>indicate</w:t>
      </w:r>
      <w:r>
        <w:rPr>
          <w:spacing w:val="38"/>
          <w:vertAlign w:val="baseline"/>
        </w:rPr>
        <w:t> </w:t>
      </w:r>
      <w:r>
        <w:rPr>
          <w:vertAlign w:val="baseline"/>
        </w:rPr>
        <w:t>significance</w:t>
      </w:r>
      <w:r>
        <w:rPr>
          <w:spacing w:val="33"/>
          <w:vertAlign w:val="baseline"/>
        </w:rPr>
        <w:t> </w:t>
      </w:r>
      <w:r>
        <w:rPr>
          <w:vertAlign w:val="baseline"/>
        </w:rPr>
        <w:t>at</w:t>
      </w:r>
      <w:r>
        <w:rPr>
          <w:spacing w:val="38"/>
          <w:vertAlign w:val="baseline"/>
        </w:rPr>
        <w:t> </w:t>
      </w:r>
      <w:r>
        <w:rPr>
          <w:vertAlign w:val="baseline"/>
        </w:rPr>
        <w:t>P</w:t>
      </w:r>
      <w:r>
        <w:rPr>
          <w:spacing w:val="32"/>
          <w:vertAlign w:val="baseline"/>
        </w:rPr>
        <w:t> </w:t>
      </w:r>
      <w:r>
        <w:rPr>
          <w:vertAlign w:val="baseline"/>
        </w:rPr>
        <w:t>&lt;</w:t>
      </w:r>
      <w:r>
        <w:rPr>
          <w:spacing w:val="40"/>
          <w:vertAlign w:val="baseline"/>
        </w:rPr>
        <w:t> </w:t>
      </w:r>
      <w:r>
        <w:rPr>
          <w:vertAlign w:val="baseline"/>
        </w:rPr>
        <w:t>0.05</w:t>
      </w:r>
      <w:r>
        <w:rPr>
          <w:spacing w:val="40"/>
          <w:vertAlign w:val="baseline"/>
        </w:rPr>
        <w:t> </w:t>
      </w:r>
      <w:r>
        <w:rPr>
          <w:vertAlign w:val="baseline"/>
        </w:rPr>
        <w:t>and</w:t>
      </w:r>
      <w:r>
        <w:rPr>
          <w:spacing w:val="40"/>
          <w:vertAlign w:val="baseline"/>
        </w:rPr>
        <w:t> </w:t>
      </w:r>
      <w:r>
        <w:rPr>
          <w:vertAlign w:val="baseline"/>
        </w:rPr>
        <w:t>its absence imply insignificance. n = 5</w:t>
      </w:r>
    </w:p>
    <w:p>
      <w:pPr>
        <w:spacing w:after="0"/>
        <w:sectPr>
          <w:pgSz w:w="12240" w:h="15840"/>
          <w:pgMar w:header="0" w:footer="916" w:top="1260" w:bottom="1100" w:left="1720" w:right="96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8"/>
      </w:pPr>
    </w:p>
    <w:p>
      <w:pPr>
        <w:pStyle w:val="Heading2"/>
        <w:numPr>
          <w:ilvl w:val="1"/>
          <w:numId w:val="25"/>
        </w:numPr>
        <w:tabs>
          <w:tab w:pos="1060" w:val="left" w:leader="none"/>
        </w:tabs>
        <w:spacing w:line="240" w:lineRule="auto" w:before="0" w:after="0"/>
        <w:ind w:left="1060" w:right="0" w:hanging="395"/>
        <w:jc w:val="left"/>
      </w:pPr>
      <w:bookmarkStart w:name="_TOC_250016" w:id="41"/>
      <w:r>
        <w:rPr/>
        <w:t>ASSESSMENT</w:t>
      </w:r>
      <w:r>
        <w:rPr>
          <w:spacing w:val="17"/>
        </w:rPr>
        <w:t> </w:t>
      </w:r>
      <w:r>
        <w:rPr/>
        <w:t>OF</w:t>
      </w:r>
      <w:r>
        <w:rPr>
          <w:spacing w:val="15"/>
        </w:rPr>
        <w:t> </w:t>
      </w:r>
      <w:r>
        <w:rPr/>
        <w:t>MOTOR</w:t>
      </w:r>
      <w:r>
        <w:rPr>
          <w:spacing w:val="20"/>
        </w:rPr>
        <w:t> </w:t>
      </w:r>
      <w:bookmarkEnd w:id="41"/>
      <w:r>
        <w:rPr>
          <w:spacing w:val="-2"/>
        </w:rPr>
        <w:t>COORDINATION</w:t>
      </w:r>
    </w:p>
    <w:p>
      <w:pPr>
        <w:pStyle w:val="BodyText"/>
        <w:rPr>
          <w:b/>
        </w:rPr>
      </w:pPr>
    </w:p>
    <w:p>
      <w:pPr>
        <w:pStyle w:val="BodyText"/>
        <w:rPr>
          <w:b/>
        </w:rPr>
      </w:pPr>
    </w:p>
    <w:p>
      <w:pPr>
        <w:pStyle w:val="BodyText"/>
        <w:spacing w:before="25"/>
        <w:rPr>
          <w:b/>
        </w:rPr>
      </w:pPr>
    </w:p>
    <w:p>
      <w:pPr>
        <w:pStyle w:val="Heading3"/>
        <w:numPr>
          <w:ilvl w:val="2"/>
          <w:numId w:val="25"/>
        </w:numPr>
        <w:tabs>
          <w:tab w:pos="1171" w:val="left" w:leader="none"/>
        </w:tabs>
        <w:spacing w:line="240" w:lineRule="auto" w:before="0" w:after="0"/>
        <w:ind w:left="1171" w:right="0" w:hanging="506"/>
        <w:jc w:val="left"/>
      </w:pPr>
      <w:r>
        <w:rPr/>
        <w:t>Effects</w:t>
      </w:r>
      <w:r>
        <w:rPr>
          <w:spacing w:val="5"/>
        </w:rPr>
        <w:t> </w:t>
      </w:r>
      <w:r>
        <w:rPr/>
        <w:t>of</w:t>
      </w:r>
      <w:r>
        <w:rPr>
          <w:spacing w:val="16"/>
        </w:rPr>
        <w:t> </w:t>
      </w:r>
      <w:r>
        <w:rPr/>
        <w:t>CO</w:t>
      </w:r>
      <w:r>
        <w:rPr>
          <w:spacing w:val="15"/>
        </w:rPr>
        <w:t> </w:t>
      </w:r>
      <w:r>
        <w:rPr/>
        <w:t>exposure</w:t>
      </w:r>
      <w:r>
        <w:rPr>
          <w:spacing w:val="9"/>
        </w:rPr>
        <w:t> </w:t>
      </w:r>
      <w:r>
        <w:rPr/>
        <w:t>on</w:t>
      </w:r>
      <w:r>
        <w:rPr>
          <w:spacing w:val="7"/>
        </w:rPr>
        <w:t> </w:t>
      </w:r>
      <w:r>
        <w:rPr/>
        <w:t>beam</w:t>
      </w:r>
      <w:r>
        <w:rPr>
          <w:spacing w:val="7"/>
        </w:rPr>
        <w:t> </w:t>
      </w:r>
      <w:r>
        <w:rPr/>
        <w:t>walk</w:t>
      </w:r>
      <w:r>
        <w:rPr>
          <w:spacing w:val="17"/>
        </w:rPr>
        <w:t> </w:t>
      </w:r>
      <w:r>
        <w:rPr/>
        <w:t>performance</w:t>
      </w:r>
      <w:r>
        <w:rPr>
          <w:spacing w:val="9"/>
        </w:rPr>
        <w:t> </w:t>
      </w:r>
      <w:r>
        <w:rPr>
          <w:spacing w:val="-4"/>
        </w:rPr>
        <w:t>test</w:t>
      </w:r>
    </w:p>
    <w:p>
      <w:pPr>
        <w:pStyle w:val="BodyText"/>
        <w:spacing w:before="7"/>
        <w:rPr>
          <w:b/>
        </w:rPr>
      </w:pPr>
    </w:p>
    <w:p>
      <w:pPr>
        <w:pStyle w:val="BodyText"/>
        <w:spacing w:line="494" w:lineRule="auto" w:before="1"/>
        <w:ind w:left="665" w:right="896"/>
        <w:jc w:val="both"/>
      </w:pPr>
      <w:r>
        <w:rPr/>
        <w:t>Although there were increases in the latency of the experimental group during the 30 minutes (9.4</w:t>
      </w:r>
      <w:r>
        <w:rPr>
          <w:spacing w:val="40"/>
        </w:rPr>
        <w:t> </w:t>
      </w:r>
      <w:r>
        <w:rPr/>
        <w:t>±</w:t>
      </w:r>
      <w:r>
        <w:rPr>
          <w:spacing w:val="40"/>
        </w:rPr>
        <w:t> </w:t>
      </w:r>
      <w:r>
        <w:rPr/>
        <w:t>0.9</w:t>
      </w:r>
      <w:r>
        <w:rPr>
          <w:spacing w:val="40"/>
        </w:rPr>
        <w:t> </w:t>
      </w:r>
      <w:r>
        <w:rPr/>
        <w:t>sec.),</w:t>
      </w:r>
      <w:r>
        <w:rPr>
          <w:spacing w:val="40"/>
        </w:rPr>
        <w:t> </w:t>
      </w:r>
      <w:r>
        <w:rPr/>
        <w:t>1</w:t>
      </w:r>
      <w:r>
        <w:rPr>
          <w:spacing w:val="40"/>
        </w:rPr>
        <w:t> </w:t>
      </w:r>
      <w:r>
        <w:rPr/>
        <w:t>hour</w:t>
      </w:r>
      <w:r>
        <w:rPr>
          <w:spacing w:val="40"/>
        </w:rPr>
        <w:t> </w:t>
      </w:r>
      <w:r>
        <w:rPr/>
        <w:t>(20.8</w:t>
      </w:r>
      <w:r>
        <w:rPr>
          <w:spacing w:val="40"/>
        </w:rPr>
        <w:t> </w:t>
      </w:r>
      <w:r>
        <w:rPr/>
        <w:t>±</w:t>
      </w:r>
      <w:r>
        <w:rPr>
          <w:spacing w:val="40"/>
        </w:rPr>
        <w:t> </w:t>
      </w:r>
      <w:r>
        <w:rPr/>
        <w:t>2.1</w:t>
      </w:r>
      <w:r>
        <w:rPr>
          <w:spacing w:val="40"/>
        </w:rPr>
        <w:t> </w:t>
      </w:r>
      <w:r>
        <w:rPr/>
        <w:t>sec),</w:t>
      </w:r>
      <w:r>
        <w:rPr>
          <w:spacing w:val="40"/>
        </w:rPr>
        <w:t> </w:t>
      </w:r>
      <w:r>
        <w:rPr/>
        <w:t>and</w:t>
      </w:r>
      <w:r>
        <w:rPr>
          <w:spacing w:val="40"/>
        </w:rPr>
        <w:t> </w:t>
      </w:r>
      <w:r>
        <w:rPr/>
        <w:t>2</w:t>
      </w:r>
      <w:r>
        <w:rPr>
          <w:spacing w:val="40"/>
        </w:rPr>
        <w:t> </w:t>
      </w:r>
      <w:r>
        <w:rPr/>
        <w:t>hours</w:t>
      </w:r>
      <w:r>
        <w:rPr>
          <w:spacing w:val="40"/>
        </w:rPr>
        <w:t> </w:t>
      </w:r>
      <w:r>
        <w:rPr/>
        <w:t>(11.4</w:t>
      </w:r>
      <w:r>
        <w:rPr>
          <w:spacing w:val="40"/>
        </w:rPr>
        <w:t> </w:t>
      </w:r>
      <w:r>
        <w:rPr/>
        <w:t>±</w:t>
      </w:r>
      <w:r>
        <w:rPr>
          <w:spacing w:val="40"/>
        </w:rPr>
        <w:t> </w:t>
      </w:r>
      <w:r>
        <w:rPr/>
        <w:t>1.5</w:t>
      </w:r>
      <w:r>
        <w:rPr>
          <w:spacing w:val="40"/>
        </w:rPr>
        <w:t> </w:t>
      </w:r>
      <w:r>
        <w:rPr/>
        <w:t>sec.) of exposure to CO when compared</w:t>
      </w:r>
      <w:r>
        <w:rPr>
          <w:spacing w:val="20"/>
        </w:rPr>
        <w:t> </w:t>
      </w:r>
      <w:r>
        <w:rPr/>
        <w:t>to</w:t>
      </w:r>
      <w:r>
        <w:rPr>
          <w:spacing w:val="20"/>
        </w:rPr>
        <w:t> </w:t>
      </w:r>
      <w:r>
        <w:rPr/>
        <w:t>their controls (8</w:t>
      </w:r>
      <w:r>
        <w:rPr>
          <w:spacing w:val="20"/>
        </w:rPr>
        <w:t> </w:t>
      </w:r>
      <w:r>
        <w:rPr/>
        <w:t>± 0.9</w:t>
      </w:r>
      <w:r>
        <w:rPr>
          <w:spacing w:val="22"/>
        </w:rPr>
        <w:t> </w:t>
      </w:r>
      <w:r>
        <w:rPr/>
        <w:t>sec., 15.4 ± 2.7</w:t>
      </w:r>
      <w:r>
        <w:rPr>
          <w:spacing w:val="26"/>
        </w:rPr>
        <w:t> </w:t>
      </w:r>
      <w:r>
        <w:rPr/>
        <w:t>sec.</w:t>
      </w:r>
      <w:r>
        <w:rPr>
          <w:spacing w:val="23"/>
        </w:rPr>
        <w:t> </w:t>
      </w:r>
      <w:r>
        <w:rPr/>
        <w:t>and 10 ± 0.8 sec.) respectively; none was significant (Fig. 4.5).</w:t>
      </w:r>
    </w:p>
    <w:p>
      <w:pPr>
        <w:spacing w:after="0" w:line="494" w:lineRule="auto"/>
        <w:jc w:val="both"/>
        <w:sectPr>
          <w:pgSz w:w="12240" w:h="15840"/>
          <w:pgMar w:header="0" w:footer="916" w:top="1820" w:bottom="1100" w:left="1720" w:right="9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55"/>
        <w:rPr>
          <w:sz w:val="20"/>
        </w:rPr>
      </w:pPr>
    </w:p>
    <w:p>
      <w:pPr>
        <w:spacing w:before="0"/>
        <w:ind w:left="1150" w:right="0" w:firstLine="0"/>
        <w:jc w:val="left"/>
        <w:rPr>
          <w:b/>
          <w:sz w:val="20"/>
        </w:rPr>
      </w:pPr>
      <w:r>
        <w:rPr/>
        <mc:AlternateContent>
          <mc:Choice Requires="wps">
            <w:drawing>
              <wp:anchor distT="0" distB="0" distL="0" distR="0" allowOverlap="1" layoutInCell="1" locked="0" behindDoc="0" simplePos="0" relativeHeight="15739904">
                <wp:simplePos x="0" y="0"/>
                <wp:positionH relativeFrom="page">
                  <wp:posOffset>1977580</wp:posOffset>
                </wp:positionH>
                <wp:positionV relativeFrom="paragraph">
                  <wp:posOffset>72515</wp:posOffset>
                </wp:positionV>
                <wp:extent cx="3827779" cy="3793490"/>
                <wp:effectExtent l="0" t="0" r="0" b="0"/>
                <wp:wrapNone/>
                <wp:docPr id="119" name="Group 119"/>
                <wp:cNvGraphicFramePr>
                  <a:graphicFrameLocks/>
                </wp:cNvGraphicFramePr>
                <a:graphic>
                  <a:graphicData uri="http://schemas.microsoft.com/office/word/2010/wordprocessingGroup">
                    <wpg:wgp>
                      <wpg:cNvPr id="119" name="Group 119"/>
                      <wpg:cNvGrpSpPr/>
                      <wpg:grpSpPr>
                        <a:xfrm>
                          <a:off x="0" y="0"/>
                          <a:ext cx="3827779" cy="3793490"/>
                          <a:chExt cx="3827779" cy="3793490"/>
                        </a:xfrm>
                      </wpg:grpSpPr>
                      <wps:wsp>
                        <wps:cNvPr id="120" name="Graphic 120"/>
                        <wps:cNvSpPr/>
                        <wps:spPr>
                          <a:xfrm>
                            <a:off x="304038" y="2551938"/>
                            <a:ext cx="361315" cy="1200150"/>
                          </a:xfrm>
                          <a:custGeom>
                            <a:avLst/>
                            <a:gdLst/>
                            <a:ahLst/>
                            <a:cxnLst/>
                            <a:rect l="l" t="t" r="r" b="b"/>
                            <a:pathLst>
                              <a:path w="361315" h="1200150">
                                <a:moveTo>
                                  <a:pt x="361188" y="0"/>
                                </a:moveTo>
                                <a:lnTo>
                                  <a:pt x="0" y="0"/>
                                </a:lnTo>
                                <a:lnTo>
                                  <a:pt x="0" y="1199578"/>
                                </a:lnTo>
                                <a:lnTo>
                                  <a:pt x="361188" y="1199578"/>
                                </a:lnTo>
                                <a:lnTo>
                                  <a:pt x="361188" y="0"/>
                                </a:lnTo>
                                <a:close/>
                              </a:path>
                            </a:pathLst>
                          </a:custGeom>
                          <a:solidFill>
                            <a:srgbClr val="0000FF"/>
                          </a:solidFill>
                        </wps:spPr>
                        <wps:bodyPr wrap="square" lIns="0" tIns="0" rIns="0" bIns="0" rtlCol="0">
                          <a:prstTxWarp prst="textNoShape">
                            <a:avLst/>
                          </a:prstTxWarp>
                          <a:noAutofit/>
                        </wps:bodyPr>
                      </wps:wsp>
                      <wps:wsp>
                        <wps:cNvPr id="121" name="Graphic 121"/>
                        <wps:cNvSpPr/>
                        <wps:spPr>
                          <a:xfrm>
                            <a:off x="304038" y="2551938"/>
                            <a:ext cx="361315" cy="1200150"/>
                          </a:xfrm>
                          <a:custGeom>
                            <a:avLst/>
                            <a:gdLst/>
                            <a:ahLst/>
                            <a:cxnLst/>
                            <a:rect l="l" t="t" r="r" b="b"/>
                            <a:pathLst>
                              <a:path w="361315" h="1200150">
                                <a:moveTo>
                                  <a:pt x="0" y="0"/>
                                </a:moveTo>
                                <a:lnTo>
                                  <a:pt x="361188" y="0"/>
                                </a:lnTo>
                                <a:lnTo>
                                  <a:pt x="361188" y="1199578"/>
                                </a:lnTo>
                                <a:lnTo>
                                  <a:pt x="0" y="1199578"/>
                                </a:lnTo>
                                <a:lnTo>
                                  <a:pt x="0" y="0"/>
                                </a:lnTo>
                                <a:close/>
                              </a:path>
                            </a:pathLst>
                          </a:custGeom>
                          <a:ln w="8182">
                            <a:solidFill>
                              <a:srgbClr val="000000"/>
                            </a:solidFill>
                            <a:prstDash val="solid"/>
                          </a:ln>
                        </wps:spPr>
                        <wps:bodyPr wrap="square" lIns="0" tIns="0" rIns="0" bIns="0" rtlCol="0">
                          <a:prstTxWarp prst="textNoShape">
                            <a:avLst/>
                          </a:prstTxWarp>
                          <a:noAutofit/>
                        </wps:bodyPr>
                      </wps:wsp>
                      <wps:wsp>
                        <wps:cNvPr id="122" name="Graphic 122"/>
                        <wps:cNvSpPr/>
                        <wps:spPr>
                          <a:xfrm>
                            <a:off x="1568386" y="1441513"/>
                            <a:ext cx="361315" cy="2310130"/>
                          </a:xfrm>
                          <a:custGeom>
                            <a:avLst/>
                            <a:gdLst/>
                            <a:ahLst/>
                            <a:cxnLst/>
                            <a:rect l="l" t="t" r="r" b="b"/>
                            <a:pathLst>
                              <a:path w="361315" h="2310130">
                                <a:moveTo>
                                  <a:pt x="360997" y="0"/>
                                </a:moveTo>
                                <a:lnTo>
                                  <a:pt x="0" y="0"/>
                                </a:lnTo>
                                <a:lnTo>
                                  <a:pt x="0" y="2310003"/>
                                </a:lnTo>
                                <a:lnTo>
                                  <a:pt x="360997" y="2310003"/>
                                </a:lnTo>
                                <a:lnTo>
                                  <a:pt x="360997" y="0"/>
                                </a:lnTo>
                                <a:close/>
                              </a:path>
                            </a:pathLst>
                          </a:custGeom>
                          <a:solidFill>
                            <a:srgbClr val="0000FF"/>
                          </a:solidFill>
                        </wps:spPr>
                        <wps:bodyPr wrap="square" lIns="0" tIns="0" rIns="0" bIns="0" rtlCol="0">
                          <a:prstTxWarp prst="textNoShape">
                            <a:avLst/>
                          </a:prstTxWarp>
                          <a:noAutofit/>
                        </wps:bodyPr>
                      </wps:wsp>
                      <wps:wsp>
                        <wps:cNvPr id="123" name="Graphic 123"/>
                        <wps:cNvSpPr/>
                        <wps:spPr>
                          <a:xfrm>
                            <a:off x="1568386" y="1441513"/>
                            <a:ext cx="361315" cy="2310130"/>
                          </a:xfrm>
                          <a:custGeom>
                            <a:avLst/>
                            <a:gdLst/>
                            <a:ahLst/>
                            <a:cxnLst/>
                            <a:rect l="l" t="t" r="r" b="b"/>
                            <a:pathLst>
                              <a:path w="361315" h="2310130">
                                <a:moveTo>
                                  <a:pt x="0" y="0"/>
                                </a:moveTo>
                                <a:lnTo>
                                  <a:pt x="360997" y="0"/>
                                </a:lnTo>
                                <a:lnTo>
                                  <a:pt x="360997" y="2310003"/>
                                </a:lnTo>
                                <a:lnTo>
                                  <a:pt x="0" y="2310003"/>
                                </a:lnTo>
                                <a:lnTo>
                                  <a:pt x="0" y="0"/>
                                </a:lnTo>
                                <a:close/>
                              </a:path>
                            </a:pathLst>
                          </a:custGeom>
                          <a:ln w="8182">
                            <a:solidFill>
                              <a:srgbClr val="000000"/>
                            </a:solidFill>
                            <a:prstDash val="solid"/>
                          </a:ln>
                        </wps:spPr>
                        <wps:bodyPr wrap="square" lIns="0" tIns="0" rIns="0" bIns="0" rtlCol="0">
                          <a:prstTxWarp prst="textNoShape">
                            <a:avLst/>
                          </a:prstTxWarp>
                          <a:noAutofit/>
                        </wps:bodyPr>
                      </wps:wsp>
                      <wps:wsp>
                        <wps:cNvPr id="124" name="Graphic 124"/>
                        <wps:cNvSpPr/>
                        <wps:spPr>
                          <a:xfrm>
                            <a:off x="2832544" y="2251710"/>
                            <a:ext cx="361315" cy="1499870"/>
                          </a:xfrm>
                          <a:custGeom>
                            <a:avLst/>
                            <a:gdLst/>
                            <a:ahLst/>
                            <a:cxnLst/>
                            <a:rect l="l" t="t" r="r" b="b"/>
                            <a:pathLst>
                              <a:path w="361315" h="1499870">
                                <a:moveTo>
                                  <a:pt x="361188" y="0"/>
                                </a:moveTo>
                                <a:lnTo>
                                  <a:pt x="0" y="0"/>
                                </a:lnTo>
                                <a:lnTo>
                                  <a:pt x="0" y="1499806"/>
                                </a:lnTo>
                                <a:lnTo>
                                  <a:pt x="361188" y="1499806"/>
                                </a:lnTo>
                                <a:lnTo>
                                  <a:pt x="361188" y="0"/>
                                </a:lnTo>
                                <a:close/>
                              </a:path>
                            </a:pathLst>
                          </a:custGeom>
                          <a:solidFill>
                            <a:srgbClr val="0000FF"/>
                          </a:solidFill>
                        </wps:spPr>
                        <wps:bodyPr wrap="square" lIns="0" tIns="0" rIns="0" bIns="0" rtlCol="0">
                          <a:prstTxWarp prst="textNoShape">
                            <a:avLst/>
                          </a:prstTxWarp>
                          <a:noAutofit/>
                        </wps:bodyPr>
                      </wps:wsp>
                      <wps:wsp>
                        <wps:cNvPr id="125" name="Graphic 125"/>
                        <wps:cNvSpPr/>
                        <wps:spPr>
                          <a:xfrm>
                            <a:off x="2832544" y="2251710"/>
                            <a:ext cx="361315" cy="1499870"/>
                          </a:xfrm>
                          <a:custGeom>
                            <a:avLst/>
                            <a:gdLst/>
                            <a:ahLst/>
                            <a:cxnLst/>
                            <a:rect l="l" t="t" r="r" b="b"/>
                            <a:pathLst>
                              <a:path w="361315" h="1499870">
                                <a:moveTo>
                                  <a:pt x="0" y="0"/>
                                </a:moveTo>
                                <a:lnTo>
                                  <a:pt x="361188" y="0"/>
                                </a:lnTo>
                                <a:lnTo>
                                  <a:pt x="361188" y="1499806"/>
                                </a:lnTo>
                                <a:lnTo>
                                  <a:pt x="0" y="1499806"/>
                                </a:lnTo>
                                <a:lnTo>
                                  <a:pt x="0" y="0"/>
                                </a:lnTo>
                                <a:close/>
                              </a:path>
                            </a:pathLst>
                          </a:custGeom>
                          <a:ln w="8182">
                            <a:solidFill>
                              <a:srgbClr val="000000"/>
                            </a:solidFill>
                            <a:prstDash val="solid"/>
                          </a:ln>
                        </wps:spPr>
                        <wps:bodyPr wrap="square" lIns="0" tIns="0" rIns="0" bIns="0" rtlCol="0">
                          <a:prstTxWarp prst="textNoShape">
                            <a:avLst/>
                          </a:prstTxWarp>
                          <a:noAutofit/>
                        </wps:bodyPr>
                      </wps:wsp>
                      <wps:wsp>
                        <wps:cNvPr id="126" name="Graphic 126"/>
                        <wps:cNvSpPr/>
                        <wps:spPr>
                          <a:xfrm>
                            <a:off x="665226" y="2342007"/>
                            <a:ext cx="361315" cy="1409700"/>
                          </a:xfrm>
                          <a:custGeom>
                            <a:avLst/>
                            <a:gdLst/>
                            <a:ahLst/>
                            <a:cxnLst/>
                            <a:rect l="l" t="t" r="r" b="b"/>
                            <a:pathLst>
                              <a:path w="361315" h="1409700">
                                <a:moveTo>
                                  <a:pt x="360997" y="0"/>
                                </a:moveTo>
                                <a:lnTo>
                                  <a:pt x="0" y="0"/>
                                </a:lnTo>
                                <a:lnTo>
                                  <a:pt x="0" y="1409509"/>
                                </a:lnTo>
                                <a:lnTo>
                                  <a:pt x="360997" y="1409509"/>
                                </a:lnTo>
                                <a:lnTo>
                                  <a:pt x="360997" y="0"/>
                                </a:lnTo>
                                <a:close/>
                              </a:path>
                            </a:pathLst>
                          </a:custGeom>
                          <a:solidFill>
                            <a:srgbClr val="00FFFF"/>
                          </a:solidFill>
                        </wps:spPr>
                        <wps:bodyPr wrap="square" lIns="0" tIns="0" rIns="0" bIns="0" rtlCol="0">
                          <a:prstTxWarp prst="textNoShape">
                            <a:avLst/>
                          </a:prstTxWarp>
                          <a:noAutofit/>
                        </wps:bodyPr>
                      </wps:wsp>
                      <wps:wsp>
                        <wps:cNvPr id="127" name="Graphic 127"/>
                        <wps:cNvSpPr/>
                        <wps:spPr>
                          <a:xfrm>
                            <a:off x="665226" y="2342007"/>
                            <a:ext cx="361315" cy="1409700"/>
                          </a:xfrm>
                          <a:custGeom>
                            <a:avLst/>
                            <a:gdLst/>
                            <a:ahLst/>
                            <a:cxnLst/>
                            <a:rect l="l" t="t" r="r" b="b"/>
                            <a:pathLst>
                              <a:path w="361315" h="1409700">
                                <a:moveTo>
                                  <a:pt x="0" y="0"/>
                                </a:moveTo>
                                <a:lnTo>
                                  <a:pt x="360997" y="0"/>
                                </a:lnTo>
                                <a:lnTo>
                                  <a:pt x="360997" y="1409509"/>
                                </a:lnTo>
                                <a:lnTo>
                                  <a:pt x="0" y="1409509"/>
                                </a:lnTo>
                                <a:lnTo>
                                  <a:pt x="0" y="0"/>
                                </a:lnTo>
                                <a:close/>
                              </a:path>
                            </a:pathLst>
                          </a:custGeom>
                          <a:ln w="8182">
                            <a:solidFill>
                              <a:srgbClr val="000000"/>
                            </a:solidFill>
                            <a:prstDash val="solid"/>
                          </a:ln>
                        </wps:spPr>
                        <wps:bodyPr wrap="square" lIns="0" tIns="0" rIns="0" bIns="0" rtlCol="0">
                          <a:prstTxWarp prst="textNoShape">
                            <a:avLst/>
                          </a:prstTxWarp>
                          <a:noAutofit/>
                        </wps:bodyPr>
                      </wps:wsp>
                      <wps:wsp>
                        <wps:cNvPr id="128" name="Graphic 128"/>
                        <wps:cNvSpPr/>
                        <wps:spPr>
                          <a:xfrm>
                            <a:off x="1929383" y="631126"/>
                            <a:ext cx="361315" cy="3120390"/>
                          </a:xfrm>
                          <a:custGeom>
                            <a:avLst/>
                            <a:gdLst/>
                            <a:ahLst/>
                            <a:cxnLst/>
                            <a:rect l="l" t="t" r="r" b="b"/>
                            <a:pathLst>
                              <a:path w="361315" h="3120390">
                                <a:moveTo>
                                  <a:pt x="361188" y="0"/>
                                </a:moveTo>
                                <a:lnTo>
                                  <a:pt x="0" y="0"/>
                                </a:lnTo>
                                <a:lnTo>
                                  <a:pt x="0" y="3120390"/>
                                </a:lnTo>
                                <a:lnTo>
                                  <a:pt x="361188" y="3120390"/>
                                </a:lnTo>
                                <a:lnTo>
                                  <a:pt x="361188" y="0"/>
                                </a:lnTo>
                                <a:close/>
                              </a:path>
                            </a:pathLst>
                          </a:custGeom>
                          <a:solidFill>
                            <a:srgbClr val="00FFFF"/>
                          </a:solidFill>
                        </wps:spPr>
                        <wps:bodyPr wrap="square" lIns="0" tIns="0" rIns="0" bIns="0" rtlCol="0">
                          <a:prstTxWarp prst="textNoShape">
                            <a:avLst/>
                          </a:prstTxWarp>
                          <a:noAutofit/>
                        </wps:bodyPr>
                      </wps:wsp>
                      <wps:wsp>
                        <wps:cNvPr id="129" name="Graphic 129"/>
                        <wps:cNvSpPr/>
                        <wps:spPr>
                          <a:xfrm>
                            <a:off x="1929383" y="631126"/>
                            <a:ext cx="361315" cy="3120390"/>
                          </a:xfrm>
                          <a:custGeom>
                            <a:avLst/>
                            <a:gdLst/>
                            <a:ahLst/>
                            <a:cxnLst/>
                            <a:rect l="l" t="t" r="r" b="b"/>
                            <a:pathLst>
                              <a:path w="361315" h="3120390">
                                <a:moveTo>
                                  <a:pt x="0" y="0"/>
                                </a:moveTo>
                                <a:lnTo>
                                  <a:pt x="361188" y="0"/>
                                </a:lnTo>
                                <a:lnTo>
                                  <a:pt x="361188" y="3120390"/>
                                </a:lnTo>
                                <a:lnTo>
                                  <a:pt x="0" y="3120390"/>
                                </a:lnTo>
                                <a:lnTo>
                                  <a:pt x="0" y="0"/>
                                </a:lnTo>
                                <a:close/>
                              </a:path>
                            </a:pathLst>
                          </a:custGeom>
                          <a:ln w="8182">
                            <a:solidFill>
                              <a:srgbClr val="000000"/>
                            </a:solidFill>
                            <a:prstDash val="solid"/>
                          </a:ln>
                        </wps:spPr>
                        <wps:bodyPr wrap="square" lIns="0" tIns="0" rIns="0" bIns="0" rtlCol="0">
                          <a:prstTxWarp prst="textNoShape">
                            <a:avLst/>
                          </a:prstTxWarp>
                          <a:noAutofit/>
                        </wps:bodyPr>
                      </wps:wsp>
                      <wps:wsp>
                        <wps:cNvPr id="130" name="Graphic 130"/>
                        <wps:cNvSpPr/>
                        <wps:spPr>
                          <a:xfrm>
                            <a:off x="3193732" y="2041779"/>
                            <a:ext cx="361315" cy="1710055"/>
                          </a:xfrm>
                          <a:custGeom>
                            <a:avLst/>
                            <a:gdLst/>
                            <a:ahLst/>
                            <a:cxnLst/>
                            <a:rect l="l" t="t" r="r" b="b"/>
                            <a:pathLst>
                              <a:path w="361315" h="1710055">
                                <a:moveTo>
                                  <a:pt x="360997" y="0"/>
                                </a:moveTo>
                                <a:lnTo>
                                  <a:pt x="0" y="0"/>
                                </a:lnTo>
                                <a:lnTo>
                                  <a:pt x="0" y="1709737"/>
                                </a:lnTo>
                                <a:lnTo>
                                  <a:pt x="360997" y="1709737"/>
                                </a:lnTo>
                                <a:lnTo>
                                  <a:pt x="360997" y="0"/>
                                </a:lnTo>
                                <a:close/>
                              </a:path>
                            </a:pathLst>
                          </a:custGeom>
                          <a:solidFill>
                            <a:srgbClr val="00FFFF"/>
                          </a:solidFill>
                        </wps:spPr>
                        <wps:bodyPr wrap="square" lIns="0" tIns="0" rIns="0" bIns="0" rtlCol="0">
                          <a:prstTxWarp prst="textNoShape">
                            <a:avLst/>
                          </a:prstTxWarp>
                          <a:noAutofit/>
                        </wps:bodyPr>
                      </wps:wsp>
                      <wps:wsp>
                        <wps:cNvPr id="131" name="Graphic 131"/>
                        <wps:cNvSpPr/>
                        <wps:spPr>
                          <a:xfrm>
                            <a:off x="3193732" y="2041779"/>
                            <a:ext cx="361315" cy="1710055"/>
                          </a:xfrm>
                          <a:custGeom>
                            <a:avLst/>
                            <a:gdLst/>
                            <a:ahLst/>
                            <a:cxnLst/>
                            <a:rect l="l" t="t" r="r" b="b"/>
                            <a:pathLst>
                              <a:path w="361315" h="1710055">
                                <a:moveTo>
                                  <a:pt x="0" y="0"/>
                                </a:moveTo>
                                <a:lnTo>
                                  <a:pt x="360997" y="0"/>
                                </a:lnTo>
                                <a:lnTo>
                                  <a:pt x="360997" y="1709737"/>
                                </a:lnTo>
                                <a:lnTo>
                                  <a:pt x="0" y="1709737"/>
                                </a:lnTo>
                                <a:lnTo>
                                  <a:pt x="0" y="0"/>
                                </a:lnTo>
                                <a:close/>
                              </a:path>
                            </a:pathLst>
                          </a:custGeom>
                          <a:ln w="8182">
                            <a:solidFill>
                              <a:srgbClr val="000000"/>
                            </a:solidFill>
                            <a:prstDash val="solid"/>
                          </a:ln>
                        </wps:spPr>
                        <wps:bodyPr wrap="square" lIns="0" tIns="0" rIns="0" bIns="0" rtlCol="0">
                          <a:prstTxWarp prst="textNoShape">
                            <a:avLst/>
                          </a:prstTxWarp>
                          <a:noAutofit/>
                        </wps:bodyPr>
                      </wps:wsp>
                      <wps:wsp>
                        <wps:cNvPr id="132" name="Graphic 132"/>
                        <wps:cNvSpPr/>
                        <wps:spPr>
                          <a:xfrm>
                            <a:off x="465201" y="316420"/>
                            <a:ext cx="2928620" cy="2369820"/>
                          </a:xfrm>
                          <a:custGeom>
                            <a:avLst/>
                            <a:gdLst/>
                            <a:ahLst/>
                            <a:cxnLst/>
                            <a:rect l="l" t="t" r="r" b="b"/>
                            <a:pathLst>
                              <a:path w="2928620" h="2369820">
                                <a:moveTo>
                                  <a:pt x="19050" y="2235517"/>
                                </a:moveTo>
                                <a:lnTo>
                                  <a:pt x="19050" y="2100072"/>
                                </a:lnTo>
                              </a:path>
                              <a:path w="2928620" h="2369820">
                                <a:moveTo>
                                  <a:pt x="0" y="2100072"/>
                                </a:moveTo>
                                <a:lnTo>
                                  <a:pt x="38862" y="2100072"/>
                                </a:lnTo>
                              </a:path>
                              <a:path w="2928620" h="2369820">
                                <a:moveTo>
                                  <a:pt x="1283208" y="1125093"/>
                                </a:moveTo>
                                <a:lnTo>
                                  <a:pt x="1283208" y="719899"/>
                                </a:lnTo>
                              </a:path>
                              <a:path w="2928620" h="2369820">
                                <a:moveTo>
                                  <a:pt x="1264158" y="719899"/>
                                </a:moveTo>
                                <a:lnTo>
                                  <a:pt x="1303210" y="719899"/>
                                </a:lnTo>
                              </a:path>
                              <a:path w="2928620" h="2369820">
                                <a:moveTo>
                                  <a:pt x="2547556" y="1935289"/>
                                </a:moveTo>
                                <a:lnTo>
                                  <a:pt x="2547556" y="1814512"/>
                                </a:lnTo>
                              </a:path>
                              <a:path w="2928620" h="2369820">
                                <a:moveTo>
                                  <a:pt x="2528506" y="1814512"/>
                                </a:moveTo>
                                <a:lnTo>
                                  <a:pt x="2567368" y="1814512"/>
                                </a:lnTo>
                              </a:path>
                              <a:path w="2928620" h="2369820">
                                <a:moveTo>
                                  <a:pt x="19050" y="2235517"/>
                                </a:moveTo>
                                <a:lnTo>
                                  <a:pt x="19050" y="2369820"/>
                                </a:lnTo>
                              </a:path>
                              <a:path w="2928620" h="2369820">
                                <a:moveTo>
                                  <a:pt x="0" y="2369820"/>
                                </a:moveTo>
                                <a:lnTo>
                                  <a:pt x="38862" y="2369820"/>
                                </a:lnTo>
                              </a:path>
                              <a:path w="2928620" h="2369820">
                                <a:moveTo>
                                  <a:pt x="1283208" y="1125093"/>
                                </a:moveTo>
                                <a:lnTo>
                                  <a:pt x="1283208" y="1530286"/>
                                </a:lnTo>
                              </a:path>
                              <a:path w="2928620" h="2369820">
                                <a:moveTo>
                                  <a:pt x="1264158" y="1530286"/>
                                </a:moveTo>
                                <a:lnTo>
                                  <a:pt x="1303210" y="1530286"/>
                                </a:lnTo>
                              </a:path>
                              <a:path w="2928620" h="2369820">
                                <a:moveTo>
                                  <a:pt x="2547556" y="1935289"/>
                                </a:moveTo>
                                <a:lnTo>
                                  <a:pt x="2547556" y="2054923"/>
                                </a:lnTo>
                              </a:path>
                              <a:path w="2928620" h="2369820">
                                <a:moveTo>
                                  <a:pt x="2528506" y="2054923"/>
                                </a:moveTo>
                                <a:lnTo>
                                  <a:pt x="2567368" y="2054923"/>
                                </a:lnTo>
                              </a:path>
                              <a:path w="2928620" h="2369820">
                                <a:moveTo>
                                  <a:pt x="380047" y="2025586"/>
                                </a:moveTo>
                                <a:lnTo>
                                  <a:pt x="380047" y="1890140"/>
                                </a:lnTo>
                              </a:path>
                              <a:path w="2928620" h="2369820">
                                <a:moveTo>
                                  <a:pt x="360997" y="1890140"/>
                                </a:moveTo>
                                <a:lnTo>
                                  <a:pt x="400050" y="1890140"/>
                                </a:lnTo>
                              </a:path>
                              <a:path w="2928620" h="2369820">
                                <a:moveTo>
                                  <a:pt x="1644395" y="314705"/>
                                </a:moveTo>
                                <a:lnTo>
                                  <a:pt x="1644395" y="0"/>
                                </a:lnTo>
                              </a:path>
                              <a:path w="2928620" h="2369820">
                                <a:moveTo>
                                  <a:pt x="1625345" y="0"/>
                                </a:moveTo>
                                <a:lnTo>
                                  <a:pt x="1664208" y="0"/>
                                </a:lnTo>
                              </a:path>
                              <a:path w="2928620" h="2369820">
                                <a:moveTo>
                                  <a:pt x="2908554" y="1725358"/>
                                </a:moveTo>
                                <a:lnTo>
                                  <a:pt x="2908554" y="1499806"/>
                                </a:lnTo>
                              </a:path>
                              <a:path w="2928620" h="2369820">
                                <a:moveTo>
                                  <a:pt x="2889504" y="1499806"/>
                                </a:moveTo>
                                <a:lnTo>
                                  <a:pt x="2928366" y="1499806"/>
                                </a:lnTo>
                              </a:path>
                              <a:path w="2928620" h="2369820">
                                <a:moveTo>
                                  <a:pt x="380047" y="2025586"/>
                                </a:moveTo>
                                <a:lnTo>
                                  <a:pt x="380047" y="2159889"/>
                                </a:lnTo>
                              </a:path>
                              <a:path w="2928620" h="2369820">
                                <a:moveTo>
                                  <a:pt x="360997" y="2159889"/>
                                </a:moveTo>
                                <a:lnTo>
                                  <a:pt x="400050" y="2159889"/>
                                </a:lnTo>
                              </a:path>
                              <a:path w="2928620" h="2369820">
                                <a:moveTo>
                                  <a:pt x="1644395" y="314705"/>
                                </a:moveTo>
                                <a:lnTo>
                                  <a:pt x="1644395" y="629602"/>
                                </a:lnTo>
                              </a:path>
                              <a:path w="2928620" h="2369820">
                                <a:moveTo>
                                  <a:pt x="1625345" y="629602"/>
                                </a:moveTo>
                                <a:lnTo>
                                  <a:pt x="1664208" y="629602"/>
                                </a:lnTo>
                              </a:path>
                              <a:path w="2928620" h="2369820">
                                <a:moveTo>
                                  <a:pt x="2908554" y="1725358"/>
                                </a:moveTo>
                                <a:lnTo>
                                  <a:pt x="2908554" y="1949958"/>
                                </a:lnTo>
                              </a:path>
                              <a:path w="2928620" h="2369820">
                                <a:moveTo>
                                  <a:pt x="2889504" y="1949958"/>
                                </a:moveTo>
                                <a:lnTo>
                                  <a:pt x="2928366" y="1949958"/>
                                </a:lnTo>
                              </a:path>
                            </a:pathLst>
                          </a:custGeom>
                          <a:ln w="8182">
                            <a:solidFill>
                              <a:srgbClr val="000000"/>
                            </a:solidFill>
                            <a:prstDash val="solid"/>
                          </a:ln>
                        </wps:spPr>
                        <wps:bodyPr wrap="square" lIns="0" tIns="0" rIns="0" bIns="0" rtlCol="0">
                          <a:prstTxWarp prst="textNoShape">
                            <a:avLst/>
                          </a:prstTxWarp>
                          <a:noAutofit/>
                        </wps:bodyPr>
                      </wps:wsp>
                      <wps:wsp>
                        <wps:cNvPr id="133" name="Graphic 133"/>
                        <wps:cNvSpPr/>
                        <wps:spPr>
                          <a:xfrm>
                            <a:off x="0" y="1523"/>
                            <a:ext cx="3826510" cy="3792220"/>
                          </a:xfrm>
                          <a:custGeom>
                            <a:avLst/>
                            <a:gdLst/>
                            <a:ahLst/>
                            <a:cxnLst/>
                            <a:rect l="l" t="t" r="r" b="b"/>
                            <a:pathLst>
                              <a:path w="3826510" h="3792220">
                                <a:moveTo>
                                  <a:pt x="33527" y="0"/>
                                </a:moveTo>
                                <a:lnTo>
                                  <a:pt x="33527" y="3749992"/>
                                </a:lnTo>
                              </a:path>
                              <a:path w="3826510" h="3792220">
                                <a:moveTo>
                                  <a:pt x="0" y="3749992"/>
                                </a:moveTo>
                                <a:lnTo>
                                  <a:pt x="33527" y="3749992"/>
                                </a:lnTo>
                              </a:path>
                              <a:path w="3826510" h="3792220">
                                <a:moveTo>
                                  <a:pt x="0" y="2999612"/>
                                </a:moveTo>
                                <a:lnTo>
                                  <a:pt x="33527" y="2999612"/>
                                </a:lnTo>
                              </a:path>
                              <a:path w="3826510" h="3792220">
                                <a:moveTo>
                                  <a:pt x="0" y="2250185"/>
                                </a:moveTo>
                                <a:lnTo>
                                  <a:pt x="33527" y="2250185"/>
                                </a:lnTo>
                              </a:path>
                              <a:path w="3826510" h="3792220">
                                <a:moveTo>
                                  <a:pt x="0" y="1499806"/>
                                </a:moveTo>
                                <a:lnTo>
                                  <a:pt x="33527" y="1499806"/>
                                </a:lnTo>
                              </a:path>
                              <a:path w="3826510" h="3792220">
                                <a:moveTo>
                                  <a:pt x="0" y="750379"/>
                                </a:moveTo>
                                <a:lnTo>
                                  <a:pt x="33527" y="750379"/>
                                </a:lnTo>
                              </a:path>
                              <a:path w="3826510" h="3792220">
                                <a:moveTo>
                                  <a:pt x="0" y="0"/>
                                </a:moveTo>
                                <a:lnTo>
                                  <a:pt x="33527" y="0"/>
                                </a:lnTo>
                              </a:path>
                              <a:path w="3826510" h="3792220">
                                <a:moveTo>
                                  <a:pt x="33527" y="3749992"/>
                                </a:moveTo>
                                <a:lnTo>
                                  <a:pt x="3826192" y="3749992"/>
                                </a:lnTo>
                              </a:path>
                              <a:path w="3826510" h="3792220">
                                <a:moveTo>
                                  <a:pt x="33527" y="3791711"/>
                                </a:moveTo>
                                <a:lnTo>
                                  <a:pt x="33527" y="3749992"/>
                                </a:lnTo>
                              </a:path>
                              <a:path w="3826510" h="3792220">
                                <a:moveTo>
                                  <a:pt x="1297685" y="3791711"/>
                                </a:moveTo>
                                <a:lnTo>
                                  <a:pt x="1297685" y="3749992"/>
                                </a:lnTo>
                              </a:path>
                              <a:path w="3826510" h="3792220">
                                <a:moveTo>
                                  <a:pt x="2562034" y="3791711"/>
                                </a:moveTo>
                                <a:lnTo>
                                  <a:pt x="2562034" y="3749992"/>
                                </a:lnTo>
                              </a:path>
                              <a:path w="3826510" h="3792220">
                                <a:moveTo>
                                  <a:pt x="3826192" y="3791711"/>
                                </a:moveTo>
                                <a:lnTo>
                                  <a:pt x="3826192" y="3749992"/>
                                </a:lnTo>
                              </a:path>
                            </a:pathLst>
                          </a:custGeom>
                          <a:ln w="304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5.714996pt;margin-top:5.709883pt;width:301.4pt;height:298.7pt;mso-position-horizontal-relative:page;mso-position-vertical-relative:paragraph;z-index:15739904" id="docshapegroup110" coordorigin="3114,114" coordsize="6028,5974">
                <v:rect style="position:absolute;left:3593;top:4133;width:569;height:1890" id="docshape111" filled="true" fillcolor="#0000ff" stroked="false">
                  <v:fill type="solid"/>
                </v:rect>
                <v:rect style="position:absolute;left:3593;top:4133;width:569;height:1890" id="docshape112" filled="false" stroked="true" strokeweight=".64432pt" strokecolor="#000000">
                  <v:stroke dashstyle="solid"/>
                </v:rect>
                <v:rect style="position:absolute;left:5584;top:2384;width:569;height:3638" id="docshape113" filled="true" fillcolor="#0000ff" stroked="false">
                  <v:fill type="solid"/>
                </v:rect>
                <v:rect style="position:absolute;left:5584;top:2384;width:569;height:3638" id="docshape114" filled="false" stroked="true" strokeweight=".64432pt" strokecolor="#000000">
                  <v:stroke dashstyle="solid"/>
                </v:rect>
                <v:rect style="position:absolute;left:7575;top:3660;width:569;height:2362" id="docshape115" filled="true" fillcolor="#0000ff" stroked="false">
                  <v:fill type="solid"/>
                </v:rect>
                <v:rect style="position:absolute;left:7575;top:3660;width:569;height:2362" id="docshape116" filled="false" stroked="true" strokeweight=".64432pt" strokecolor="#000000">
                  <v:stroke dashstyle="solid"/>
                </v:rect>
                <v:rect style="position:absolute;left:4161;top:3802;width:569;height:2220" id="docshape117" filled="true" fillcolor="#00ffff" stroked="false">
                  <v:fill type="solid"/>
                </v:rect>
                <v:rect style="position:absolute;left:4161;top:3802;width:569;height:2220" id="docshape118" filled="false" stroked="true" strokeweight=".64432pt" strokecolor="#000000">
                  <v:stroke dashstyle="solid"/>
                </v:rect>
                <v:rect style="position:absolute;left:6152;top:1108;width:569;height:4914" id="docshape119" filled="true" fillcolor="#00ffff" stroked="false">
                  <v:fill type="solid"/>
                </v:rect>
                <v:rect style="position:absolute;left:6152;top:1108;width:569;height:4914" id="docshape120" filled="false" stroked="true" strokeweight=".64432pt" strokecolor="#000000">
                  <v:stroke dashstyle="solid"/>
                </v:rect>
                <v:rect style="position:absolute;left:8143;top:3329;width:569;height:2693" id="docshape121" filled="true" fillcolor="#00ffff" stroked="false">
                  <v:fill type="solid"/>
                </v:rect>
                <v:rect style="position:absolute;left:8143;top:3329;width:569;height:2693" id="docshape122" filled="false" stroked="true" strokeweight=".64432pt" strokecolor="#000000">
                  <v:stroke dashstyle="solid"/>
                </v:rect>
                <v:shape style="position:absolute;left:3846;top:612;width:4612;height:3732" id="docshape123" coordorigin="3847,612" coordsize="4612,3732" path="m3877,4133l3877,3920m3847,3920l3908,3920m5868,2384l5868,1746m5838,1746l5899,1746m7859,3660l7859,3470m7829,3470l7890,3470m3877,4133l3877,4344m3847,4344l3908,4344m5868,2384l5868,3022m5838,3022l5899,3022m7859,3660l7859,3849m7829,3849l7890,3849m4445,3802l4445,3589m4415,3589l4477,3589m6436,1108l6436,612m6406,612l6468,612m8427,3330l8427,2974m8397,2974l8458,2974m4445,3802l4445,4014m4415,4014l4477,4014m6436,1108l6436,1604m6406,1604l6468,1604m8427,3330l8427,3683m8397,3683l8458,3683e" filled="false" stroked="true" strokeweight=".64432pt" strokecolor="#000000">
                  <v:path arrowok="t"/>
                  <v:stroke dashstyle="solid"/>
                </v:shape>
                <v:shape style="position:absolute;left:3114;top:116;width:6026;height:5972" id="docshape124" coordorigin="3114,117" coordsize="6026,5972" path="m3167,117l3167,6022m3114,6022l3167,6022m3114,4840l3167,4840m3114,3660l3167,3660m3114,2478l3167,2478m3114,1298l3167,1298m3114,117l3167,117m3167,6022l9140,6022m3167,6088l3167,6022m5158,6088l5158,6022m7149,6088l7149,6022m9140,6088l9140,6022e" filled="false" stroked="true" strokeweight=".24pt" strokecolor="#000000">
                  <v:path arrowok="t"/>
                  <v:stroke dashstyle="solid"/>
                </v:shape>
                <w10:wrap type="none"/>
              </v:group>
            </w:pict>
          </mc:Fallback>
        </mc:AlternateContent>
      </w:r>
      <w:r>
        <w:rPr>
          <w:b/>
          <w:spacing w:val="-5"/>
          <w:w w:val="95"/>
          <w:sz w:val="20"/>
        </w:rPr>
        <w:t>25</w:t>
      </w:r>
    </w:p>
    <w:p>
      <w:pPr>
        <w:pStyle w:val="BodyText"/>
        <w:rPr>
          <w:b/>
          <w:sz w:val="20"/>
        </w:rPr>
      </w:pPr>
    </w:p>
    <w:p>
      <w:pPr>
        <w:pStyle w:val="BodyText"/>
        <w:rPr>
          <w:b/>
          <w:sz w:val="20"/>
        </w:rPr>
      </w:pPr>
    </w:p>
    <w:p>
      <w:pPr>
        <w:pStyle w:val="BodyText"/>
        <w:rPr>
          <w:b/>
          <w:sz w:val="20"/>
        </w:rPr>
      </w:pPr>
    </w:p>
    <w:p>
      <w:pPr>
        <w:pStyle w:val="BodyText"/>
        <w:spacing w:before="31"/>
        <w:rPr>
          <w:b/>
          <w:sz w:val="20"/>
        </w:rPr>
      </w:pPr>
    </w:p>
    <w:p>
      <w:pPr>
        <w:spacing w:before="0"/>
        <w:ind w:left="1150" w:right="0" w:firstLine="0"/>
        <w:jc w:val="left"/>
        <w:rPr>
          <w:b/>
          <w:sz w:val="20"/>
        </w:rPr>
      </w:pPr>
      <w:r>
        <w:rPr>
          <w:b/>
          <w:spacing w:val="-5"/>
          <w:w w:val="95"/>
          <w:sz w:val="20"/>
        </w:rPr>
        <w:t>20</w:t>
      </w:r>
    </w:p>
    <w:p>
      <w:pPr>
        <w:pStyle w:val="BodyText"/>
        <w:rPr>
          <w:b/>
          <w:sz w:val="20"/>
        </w:rPr>
      </w:pPr>
    </w:p>
    <w:p>
      <w:pPr>
        <w:pStyle w:val="BodyText"/>
        <w:rPr>
          <w:b/>
          <w:sz w:val="20"/>
        </w:rPr>
      </w:pPr>
    </w:p>
    <w:p>
      <w:pPr>
        <w:pStyle w:val="BodyText"/>
        <w:rPr>
          <w:b/>
          <w:sz w:val="20"/>
        </w:rPr>
      </w:pPr>
    </w:p>
    <w:p>
      <w:pPr>
        <w:pStyle w:val="BodyText"/>
        <w:spacing w:before="31"/>
        <w:rPr>
          <w:b/>
          <w:sz w:val="20"/>
        </w:rPr>
      </w:pPr>
    </w:p>
    <w:p>
      <w:pPr>
        <w:spacing w:before="0"/>
        <w:ind w:left="1150" w:right="0" w:firstLine="0"/>
        <w:jc w:val="left"/>
        <w:rPr>
          <w:b/>
          <w:sz w:val="20"/>
        </w:rPr>
      </w:pPr>
      <w:r>
        <w:rPr/>
        <mc:AlternateContent>
          <mc:Choice Requires="wps">
            <w:drawing>
              <wp:anchor distT="0" distB="0" distL="0" distR="0" allowOverlap="1" layoutInCell="1" locked="0" behindDoc="0" simplePos="0" relativeHeight="15740416">
                <wp:simplePos x="0" y="0"/>
                <wp:positionH relativeFrom="page">
                  <wp:posOffset>1624441</wp:posOffset>
                </wp:positionH>
                <wp:positionV relativeFrom="paragraph">
                  <wp:posOffset>-429220</wp:posOffset>
                </wp:positionV>
                <wp:extent cx="191770" cy="1767839"/>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a:off x="0" y="0"/>
                          <a:ext cx="191770" cy="1767839"/>
                        </a:xfrm>
                        <a:prstGeom prst="rect">
                          <a:avLst/>
                        </a:prstGeom>
                      </wps:spPr>
                      <wps:txbx>
                        <w:txbxContent>
                          <w:p>
                            <w:pPr>
                              <w:spacing w:before="16"/>
                              <w:ind w:left="20" w:right="0" w:firstLine="0"/>
                              <w:jc w:val="left"/>
                              <w:rPr>
                                <w:b/>
                                <w:sz w:val="23"/>
                              </w:rPr>
                            </w:pPr>
                            <w:r>
                              <w:rPr>
                                <w:b/>
                                <w:w w:val="80"/>
                                <w:sz w:val="23"/>
                              </w:rPr>
                              <w:t>T</w:t>
                            </w:r>
                            <w:r>
                              <w:rPr>
                                <w:b/>
                                <w:spacing w:val="-12"/>
                                <w:w w:val="80"/>
                                <w:sz w:val="23"/>
                              </w:rPr>
                              <w:t> </w:t>
                            </w:r>
                            <w:r>
                              <w:rPr>
                                <w:b/>
                                <w:w w:val="80"/>
                                <w:sz w:val="23"/>
                              </w:rPr>
                              <w:t>r</w:t>
                            </w:r>
                            <w:r>
                              <w:rPr>
                                <w:b/>
                                <w:spacing w:val="-23"/>
                                <w:w w:val="80"/>
                                <w:sz w:val="23"/>
                              </w:rPr>
                              <w:t> </w:t>
                            </w:r>
                            <w:r>
                              <w:rPr>
                                <w:b/>
                                <w:w w:val="80"/>
                                <w:sz w:val="23"/>
                              </w:rPr>
                              <w:t>a</w:t>
                            </w:r>
                            <w:r>
                              <w:rPr>
                                <w:b/>
                                <w:spacing w:val="-19"/>
                                <w:w w:val="80"/>
                                <w:sz w:val="23"/>
                              </w:rPr>
                              <w:t> </w:t>
                            </w:r>
                            <w:r>
                              <w:rPr>
                                <w:b/>
                                <w:w w:val="80"/>
                                <w:sz w:val="23"/>
                              </w:rPr>
                              <w:t>n</w:t>
                            </w:r>
                            <w:r>
                              <w:rPr>
                                <w:b/>
                                <w:spacing w:val="-20"/>
                                <w:w w:val="80"/>
                                <w:sz w:val="23"/>
                              </w:rPr>
                              <w:t> </w:t>
                            </w:r>
                            <w:r>
                              <w:rPr>
                                <w:b/>
                                <w:spacing w:val="12"/>
                                <w:w w:val="80"/>
                                <w:sz w:val="23"/>
                              </w:rPr>
                              <w:t>sfer</w:t>
                            </w:r>
                            <w:r>
                              <w:rPr>
                                <w:b/>
                                <w:spacing w:val="30"/>
                                <w:sz w:val="23"/>
                              </w:rPr>
                              <w:t> </w:t>
                            </w:r>
                            <w:r>
                              <w:rPr>
                                <w:b/>
                                <w:w w:val="80"/>
                                <w:sz w:val="23"/>
                              </w:rPr>
                              <w:t>L</w:t>
                            </w:r>
                            <w:r>
                              <w:rPr>
                                <w:b/>
                                <w:spacing w:val="-11"/>
                                <w:w w:val="80"/>
                                <w:sz w:val="23"/>
                              </w:rPr>
                              <w:t> </w:t>
                            </w:r>
                            <w:r>
                              <w:rPr>
                                <w:b/>
                                <w:w w:val="80"/>
                                <w:sz w:val="23"/>
                              </w:rPr>
                              <w:t>a</w:t>
                            </w:r>
                            <w:r>
                              <w:rPr>
                                <w:b/>
                                <w:spacing w:val="-19"/>
                                <w:w w:val="80"/>
                                <w:sz w:val="23"/>
                              </w:rPr>
                              <w:t> </w:t>
                            </w:r>
                            <w:r>
                              <w:rPr>
                                <w:b/>
                                <w:spacing w:val="11"/>
                                <w:w w:val="80"/>
                                <w:sz w:val="23"/>
                              </w:rPr>
                              <w:t>ten</w:t>
                            </w:r>
                            <w:r>
                              <w:rPr>
                                <w:b/>
                                <w:spacing w:val="-15"/>
                                <w:w w:val="80"/>
                                <w:sz w:val="23"/>
                              </w:rPr>
                              <w:t> </w:t>
                            </w:r>
                            <w:r>
                              <w:rPr>
                                <w:b/>
                                <w:w w:val="80"/>
                                <w:sz w:val="23"/>
                              </w:rPr>
                              <w:t>c</w:t>
                            </w:r>
                            <w:r>
                              <w:rPr>
                                <w:b/>
                                <w:spacing w:val="-23"/>
                                <w:w w:val="80"/>
                                <w:sz w:val="23"/>
                              </w:rPr>
                              <w:t> </w:t>
                            </w:r>
                            <w:r>
                              <w:rPr>
                                <w:b/>
                                <w:w w:val="80"/>
                                <w:sz w:val="23"/>
                              </w:rPr>
                              <w:t>y</w:t>
                            </w:r>
                            <w:r>
                              <w:rPr>
                                <w:b/>
                                <w:spacing w:val="34"/>
                                <w:sz w:val="23"/>
                              </w:rPr>
                              <w:t> </w:t>
                            </w:r>
                            <w:r>
                              <w:rPr>
                                <w:b/>
                                <w:spacing w:val="10"/>
                                <w:w w:val="80"/>
                                <w:sz w:val="23"/>
                              </w:rPr>
                              <w:t>(se</w:t>
                            </w:r>
                            <w:r>
                              <w:rPr>
                                <w:b/>
                                <w:spacing w:val="-23"/>
                                <w:w w:val="80"/>
                                <w:sz w:val="23"/>
                              </w:rPr>
                              <w:t> </w:t>
                            </w:r>
                            <w:r>
                              <w:rPr>
                                <w:b/>
                                <w:w w:val="80"/>
                                <w:sz w:val="23"/>
                              </w:rPr>
                              <w:t>c</w:t>
                            </w:r>
                            <w:r>
                              <w:rPr>
                                <w:b/>
                                <w:spacing w:val="-24"/>
                                <w:w w:val="80"/>
                                <w:sz w:val="23"/>
                              </w:rPr>
                              <w:t> </w:t>
                            </w:r>
                            <w:r>
                              <w:rPr>
                                <w:b/>
                                <w:w w:val="80"/>
                                <w:sz w:val="23"/>
                              </w:rPr>
                              <w:t>o</w:t>
                            </w:r>
                            <w:r>
                              <w:rPr>
                                <w:b/>
                                <w:spacing w:val="-19"/>
                                <w:w w:val="80"/>
                                <w:sz w:val="23"/>
                              </w:rPr>
                              <w:t> </w:t>
                            </w:r>
                            <w:r>
                              <w:rPr>
                                <w:b/>
                                <w:w w:val="80"/>
                                <w:sz w:val="23"/>
                              </w:rPr>
                              <w:t>n</w:t>
                            </w:r>
                            <w:r>
                              <w:rPr>
                                <w:b/>
                                <w:spacing w:val="-20"/>
                                <w:w w:val="80"/>
                                <w:sz w:val="23"/>
                              </w:rPr>
                              <w:t> </w:t>
                            </w:r>
                            <w:r>
                              <w:rPr>
                                <w:b/>
                                <w:w w:val="80"/>
                                <w:sz w:val="23"/>
                              </w:rPr>
                              <w:t>d</w:t>
                            </w:r>
                            <w:r>
                              <w:rPr>
                                <w:b/>
                                <w:spacing w:val="-19"/>
                                <w:w w:val="80"/>
                                <w:sz w:val="23"/>
                              </w:rPr>
                              <w:t> </w:t>
                            </w:r>
                            <w:r>
                              <w:rPr>
                                <w:b/>
                                <w:w w:val="80"/>
                                <w:sz w:val="23"/>
                              </w:rPr>
                              <w:t>s</w:t>
                            </w:r>
                            <w:r>
                              <w:rPr>
                                <w:b/>
                                <w:spacing w:val="-23"/>
                                <w:w w:val="80"/>
                                <w:sz w:val="23"/>
                              </w:rPr>
                              <w:t> </w:t>
                            </w:r>
                            <w:r>
                              <w:rPr>
                                <w:b/>
                                <w:spacing w:val="-10"/>
                                <w:w w:val="80"/>
                                <w:sz w:val="23"/>
                              </w:rPr>
                              <w:t>)</w:t>
                            </w:r>
                          </w:p>
                        </w:txbxContent>
                      </wps:txbx>
                      <wps:bodyPr wrap="square" lIns="0" tIns="0" rIns="0" bIns="0" rtlCol="0" vert="vert270">
                        <a:noAutofit/>
                      </wps:bodyPr>
                    </wps:wsp>
                  </a:graphicData>
                </a:graphic>
              </wp:anchor>
            </w:drawing>
          </mc:Choice>
          <mc:Fallback>
            <w:pict>
              <v:shape style="position:absolute;margin-left:127.908752pt;margin-top:-33.796852pt;width:15.1pt;height:139.2pt;mso-position-horizontal-relative:page;mso-position-vertical-relative:paragraph;z-index:15740416" type="#_x0000_t202" id="docshape125" filled="false" stroked="false">
                <v:textbox inset="0,0,0,0" style="layout-flow:vertical;mso-layout-flow-alt:bottom-to-top">
                  <w:txbxContent>
                    <w:p>
                      <w:pPr>
                        <w:spacing w:before="16"/>
                        <w:ind w:left="20" w:right="0" w:firstLine="0"/>
                        <w:jc w:val="left"/>
                        <w:rPr>
                          <w:b/>
                          <w:sz w:val="23"/>
                        </w:rPr>
                      </w:pPr>
                      <w:r>
                        <w:rPr>
                          <w:b/>
                          <w:w w:val="80"/>
                          <w:sz w:val="23"/>
                        </w:rPr>
                        <w:t>T</w:t>
                      </w:r>
                      <w:r>
                        <w:rPr>
                          <w:b/>
                          <w:spacing w:val="-12"/>
                          <w:w w:val="80"/>
                          <w:sz w:val="23"/>
                        </w:rPr>
                        <w:t> </w:t>
                      </w:r>
                      <w:r>
                        <w:rPr>
                          <w:b/>
                          <w:w w:val="80"/>
                          <w:sz w:val="23"/>
                        </w:rPr>
                        <w:t>r</w:t>
                      </w:r>
                      <w:r>
                        <w:rPr>
                          <w:b/>
                          <w:spacing w:val="-23"/>
                          <w:w w:val="80"/>
                          <w:sz w:val="23"/>
                        </w:rPr>
                        <w:t> </w:t>
                      </w:r>
                      <w:r>
                        <w:rPr>
                          <w:b/>
                          <w:w w:val="80"/>
                          <w:sz w:val="23"/>
                        </w:rPr>
                        <w:t>a</w:t>
                      </w:r>
                      <w:r>
                        <w:rPr>
                          <w:b/>
                          <w:spacing w:val="-19"/>
                          <w:w w:val="80"/>
                          <w:sz w:val="23"/>
                        </w:rPr>
                        <w:t> </w:t>
                      </w:r>
                      <w:r>
                        <w:rPr>
                          <w:b/>
                          <w:w w:val="80"/>
                          <w:sz w:val="23"/>
                        </w:rPr>
                        <w:t>n</w:t>
                      </w:r>
                      <w:r>
                        <w:rPr>
                          <w:b/>
                          <w:spacing w:val="-20"/>
                          <w:w w:val="80"/>
                          <w:sz w:val="23"/>
                        </w:rPr>
                        <w:t> </w:t>
                      </w:r>
                      <w:r>
                        <w:rPr>
                          <w:b/>
                          <w:spacing w:val="12"/>
                          <w:w w:val="80"/>
                          <w:sz w:val="23"/>
                        </w:rPr>
                        <w:t>sfer</w:t>
                      </w:r>
                      <w:r>
                        <w:rPr>
                          <w:b/>
                          <w:spacing w:val="30"/>
                          <w:sz w:val="23"/>
                        </w:rPr>
                        <w:t> </w:t>
                      </w:r>
                      <w:r>
                        <w:rPr>
                          <w:b/>
                          <w:w w:val="80"/>
                          <w:sz w:val="23"/>
                        </w:rPr>
                        <w:t>L</w:t>
                      </w:r>
                      <w:r>
                        <w:rPr>
                          <w:b/>
                          <w:spacing w:val="-11"/>
                          <w:w w:val="80"/>
                          <w:sz w:val="23"/>
                        </w:rPr>
                        <w:t> </w:t>
                      </w:r>
                      <w:r>
                        <w:rPr>
                          <w:b/>
                          <w:w w:val="80"/>
                          <w:sz w:val="23"/>
                        </w:rPr>
                        <w:t>a</w:t>
                      </w:r>
                      <w:r>
                        <w:rPr>
                          <w:b/>
                          <w:spacing w:val="-19"/>
                          <w:w w:val="80"/>
                          <w:sz w:val="23"/>
                        </w:rPr>
                        <w:t> </w:t>
                      </w:r>
                      <w:r>
                        <w:rPr>
                          <w:b/>
                          <w:spacing w:val="11"/>
                          <w:w w:val="80"/>
                          <w:sz w:val="23"/>
                        </w:rPr>
                        <w:t>ten</w:t>
                      </w:r>
                      <w:r>
                        <w:rPr>
                          <w:b/>
                          <w:spacing w:val="-15"/>
                          <w:w w:val="80"/>
                          <w:sz w:val="23"/>
                        </w:rPr>
                        <w:t> </w:t>
                      </w:r>
                      <w:r>
                        <w:rPr>
                          <w:b/>
                          <w:w w:val="80"/>
                          <w:sz w:val="23"/>
                        </w:rPr>
                        <w:t>c</w:t>
                      </w:r>
                      <w:r>
                        <w:rPr>
                          <w:b/>
                          <w:spacing w:val="-23"/>
                          <w:w w:val="80"/>
                          <w:sz w:val="23"/>
                        </w:rPr>
                        <w:t> </w:t>
                      </w:r>
                      <w:r>
                        <w:rPr>
                          <w:b/>
                          <w:w w:val="80"/>
                          <w:sz w:val="23"/>
                        </w:rPr>
                        <w:t>y</w:t>
                      </w:r>
                      <w:r>
                        <w:rPr>
                          <w:b/>
                          <w:spacing w:val="34"/>
                          <w:sz w:val="23"/>
                        </w:rPr>
                        <w:t> </w:t>
                      </w:r>
                      <w:r>
                        <w:rPr>
                          <w:b/>
                          <w:spacing w:val="10"/>
                          <w:w w:val="80"/>
                          <w:sz w:val="23"/>
                        </w:rPr>
                        <w:t>(se</w:t>
                      </w:r>
                      <w:r>
                        <w:rPr>
                          <w:b/>
                          <w:spacing w:val="-23"/>
                          <w:w w:val="80"/>
                          <w:sz w:val="23"/>
                        </w:rPr>
                        <w:t> </w:t>
                      </w:r>
                      <w:r>
                        <w:rPr>
                          <w:b/>
                          <w:w w:val="80"/>
                          <w:sz w:val="23"/>
                        </w:rPr>
                        <w:t>c</w:t>
                      </w:r>
                      <w:r>
                        <w:rPr>
                          <w:b/>
                          <w:spacing w:val="-24"/>
                          <w:w w:val="80"/>
                          <w:sz w:val="23"/>
                        </w:rPr>
                        <w:t> </w:t>
                      </w:r>
                      <w:r>
                        <w:rPr>
                          <w:b/>
                          <w:w w:val="80"/>
                          <w:sz w:val="23"/>
                        </w:rPr>
                        <w:t>o</w:t>
                      </w:r>
                      <w:r>
                        <w:rPr>
                          <w:b/>
                          <w:spacing w:val="-19"/>
                          <w:w w:val="80"/>
                          <w:sz w:val="23"/>
                        </w:rPr>
                        <w:t> </w:t>
                      </w:r>
                      <w:r>
                        <w:rPr>
                          <w:b/>
                          <w:w w:val="80"/>
                          <w:sz w:val="23"/>
                        </w:rPr>
                        <w:t>n</w:t>
                      </w:r>
                      <w:r>
                        <w:rPr>
                          <w:b/>
                          <w:spacing w:val="-20"/>
                          <w:w w:val="80"/>
                          <w:sz w:val="23"/>
                        </w:rPr>
                        <w:t> </w:t>
                      </w:r>
                      <w:r>
                        <w:rPr>
                          <w:b/>
                          <w:w w:val="80"/>
                          <w:sz w:val="23"/>
                        </w:rPr>
                        <w:t>d</w:t>
                      </w:r>
                      <w:r>
                        <w:rPr>
                          <w:b/>
                          <w:spacing w:val="-19"/>
                          <w:w w:val="80"/>
                          <w:sz w:val="23"/>
                        </w:rPr>
                        <w:t> </w:t>
                      </w:r>
                      <w:r>
                        <w:rPr>
                          <w:b/>
                          <w:w w:val="80"/>
                          <w:sz w:val="23"/>
                        </w:rPr>
                        <w:t>s</w:t>
                      </w:r>
                      <w:r>
                        <w:rPr>
                          <w:b/>
                          <w:spacing w:val="-23"/>
                          <w:w w:val="80"/>
                          <w:sz w:val="23"/>
                        </w:rPr>
                        <w:t> </w:t>
                      </w:r>
                      <w:r>
                        <w:rPr>
                          <w:b/>
                          <w:spacing w:val="-10"/>
                          <w:w w:val="80"/>
                          <w:sz w:val="23"/>
                        </w:rPr>
                        <w:t>)</w:t>
                      </w:r>
                    </w:p>
                  </w:txbxContent>
                </v:textbox>
                <w10:wrap type="none"/>
              </v:shape>
            </w:pict>
          </mc:Fallback>
        </mc:AlternateContent>
      </w:r>
      <w:r>
        <w:rPr>
          <w:b/>
          <w:spacing w:val="-5"/>
          <w:w w:val="95"/>
          <w:sz w:val="20"/>
        </w:rPr>
        <w:t>15</w:t>
      </w:r>
    </w:p>
    <w:p>
      <w:pPr>
        <w:pStyle w:val="BodyText"/>
        <w:spacing w:before="5"/>
        <w:rPr>
          <w:b/>
          <w:sz w:val="13"/>
        </w:rPr>
      </w:pPr>
      <w:r>
        <w:rPr/>
        <mc:AlternateContent>
          <mc:Choice Requires="wps">
            <w:drawing>
              <wp:anchor distT="0" distB="0" distL="0" distR="0" allowOverlap="1" layoutInCell="1" locked="0" behindDoc="1" simplePos="0" relativeHeight="487598592">
                <wp:simplePos x="0" y="0"/>
                <wp:positionH relativeFrom="page">
                  <wp:posOffset>5862065</wp:posOffset>
                </wp:positionH>
                <wp:positionV relativeFrom="paragraph">
                  <wp:posOffset>113799</wp:posOffset>
                </wp:positionV>
                <wp:extent cx="754380" cy="377825"/>
                <wp:effectExtent l="0" t="0" r="0" b="0"/>
                <wp:wrapTopAndBottom/>
                <wp:docPr id="135" name="Group 135"/>
                <wp:cNvGraphicFramePr>
                  <a:graphicFrameLocks/>
                </wp:cNvGraphicFramePr>
                <a:graphic>
                  <a:graphicData uri="http://schemas.microsoft.com/office/word/2010/wordprocessingGroup">
                    <wpg:wgp>
                      <wpg:cNvPr id="135" name="Group 135"/>
                      <wpg:cNvGrpSpPr/>
                      <wpg:grpSpPr>
                        <a:xfrm>
                          <a:off x="0" y="0"/>
                          <a:ext cx="754380" cy="377825"/>
                          <a:chExt cx="754380" cy="377825"/>
                        </a:xfrm>
                      </wpg:grpSpPr>
                      <wps:wsp>
                        <wps:cNvPr id="136" name="Graphic 136"/>
                        <wps:cNvSpPr/>
                        <wps:spPr>
                          <a:xfrm>
                            <a:off x="34861" y="60197"/>
                            <a:ext cx="66675" cy="82550"/>
                          </a:xfrm>
                          <a:custGeom>
                            <a:avLst/>
                            <a:gdLst/>
                            <a:ahLst/>
                            <a:cxnLst/>
                            <a:rect l="l" t="t" r="r" b="b"/>
                            <a:pathLst>
                              <a:path w="66675" h="82550">
                                <a:moveTo>
                                  <a:pt x="66103" y="0"/>
                                </a:moveTo>
                                <a:lnTo>
                                  <a:pt x="0" y="0"/>
                                </a:lnTo>
                                <a:lnTo>
                                  <a:pt x="0" y="82486"/>
                                </a:lnTo>
                                <a:lnTo>
                                  <a:pt x="66103" y="82486"/>
                                </a:lnTo>
                                <a:lnTo>
                                  <a:pt x="66103" y="0"/>
                                </a:lnTo>
                                <a:close/>
                              </a:path>
                            </a:pathLst>
                          </a:custGeom>
                          <a:solidFill>
                            <a:srgbClr val="0000FF"/>
                          </a:solidFill>
                        </wps:spPr>
                        <wps:bodyPr wrap="square" lIns="0" tIns="0" rIns="0" bIns="0" rtlCol="0">
                          <a:prstTxWarp prst="textNoShape">
                            <a:avLst/>
                          </a:prstTxWarp>
                          <a:noAutofit/>
                        </wps:bodyPr>
                      </wps:wsp>
                      <wps:wsp>
                        <wps:cNvPr id="137" name="Graphic 137"/>
                        <wps:cNvSpPr/>
                        <wps:spPr>
                          <a:xfrm>
                            <a:off x="34861" y="60197"/>
                            <a:ext cx="66675" cy="82550"/>
                          </a:xfrm>
                          <a:custGeom>
                            <a:avLst/>
                            <a:gdLst/>
                            <a:ahLst/>
                            <a:cxnLst/>
                            <a:rect l="l" t="t" r="r" b="b"/>
                            <a:pathLst>
                              <a:path w="66675" h="82550">
                                <a:moveTo>
                                  <a:pt x="0" y="0"/>
                                </a:moveTo>
                                <a:lnTo>
                                  <a:pt x="66103" y="0"/>
                                </a:lnTo>
                                <a:lnTo>
                                  <a:pt x="66103" y="82486"/>
                                </a:lnTo>
                                <a:lnTo>
                                  <a:pt x="0" y="82486"/>
                                </a:lnTo>
                                <a:lnTo>
                                  <a:pt x="0" y="0"/>
                                </a:lnTo>
                                <a:close/>
                              </a:path>
                            </a:pathLst>
                          </a:custGeom>
                          <a:ln w="8182">
                            <a:solidFill>
                              <a:srgbClr val="000000"/>
                            </a:solidFill>
                            <a:prstDash val="solid"/>
                          </a:ln>
                        </wps:spPr>
                        <wps:bodyPr wrap="square" lIns="0" tIns="0" rIns="0" bIns="0" rtlCol="0">
                          <a:prstTxWarp prst="textNoShape">
                            <a:avLst/>
                          </a:prstTxWarp>
                          <a:noAutofit/>
                        </wps:bodyPr>
                      </wps:wsp>
                      <wps:wsp>
                        <wps:cNvPr id="138" name="Graphic 138"/>
                        <wps:cNvSpPr/>
                        <wps:spPr>
                          <a:xfrm>
                            <a:off x="34861" y="247650"/>
                            <a:ext cx="66675" cy="82550"/>
                          </a:xfrm>
                          <a:custGeom>
                            <a:avLst/>
                            <a:gdLst/>
                            <a:ahLst/>
                            <a:cxnLst/>
                            <a:rect l="l" t="t" r="r" b="b"/>
                            <a:pathLst>
                              <a:path w="66675" h="82550">
                                <a:moveTo>
                                  <a:pt x="66103" y="0"/>
                                </a:moveTo>
                                <a:lnTo>
                                  <a:pt x="0" y="0"/>
                                </a:lnTo>
                                <a:lnTo>
                                  <a:pt x="0" y="82295"/>
                                </a:lnTo>
                                <a:lnTo>
                                  <a:pt x="66103" y="82295"/>
                                </a:lnTo>
                                <a:lnTo>
                                  <a:pt x="66103" y="0"/>
                                </a:lnTo>
                                <a:close/>
                              </a:path>
                            </a:pathLst>
                          </a:custGeom>
                          <a:solidFill>
                            <a:srgbClr val="00FFFF"/>
                          </a:solidFill>
                        </wps:spPr>
                        <wps:bodyPr wrap="square" lIns="0" tIns="0" rIns="0" bIns="0" rtlCol="0">
                          <a:prstTxWarp prst="textNoShape">
                            <a:avLst/>
                          </a:prstTxWarp>
                          <a:noAutofit/>
                        </wps:bodyPr>
                      </wps:wsp>
                      <wps:wsp>
                        <wps:cNvPr id="139" name="Graphic 139"/>
                        <wps:cNvSpPr/>
                        <wps:spPr>
                          <a:xfrm>
                            <a:off x="34861" y="247650"/>
                            <a:ext cx="66675" cy="82550"/>
                          </a:xfrm>
                          <a:custGeom>
                            <a:avLst/>
                            <a:gdLst/>
                            <a:ahLst/>
                            <a:cxnLst/>
                            <a:rect l="l" t="t" r="r" b="b"/>
                            <a:pathLst>
                              <a:path w="66675" h="82550">
                                <a:moveTo>
                                  <a:pt x="0" y="0"/>
                                </a:moveTo>
                                <a:lnTo>
                                  <a:pt x="66103" y="0"/>
                                </a:lnTo>
                                <a:lnTo>
                                  <a:pt x="66103" y="82295"/>
                                </a:lnTo>
                                <a:lnTo>
                                  <a:pt x="0" y="82295"/>
                                </a:lnTo>
                                <a:lnTo>
                                  <a:pt x="0" y="0"/>
                                </a:lnTo>
                                <a:close/>
                              </a:path>
                            </a:pathLst>
                          </a:custGeom>
                          <a:ln w="8182">
                            <a:solidFill>
                              <a:srgbClr val="000000"/>
                            </a:solidFill>
                            <a:prstDash val="solid"/>
                          </a:ln>
                        </wps:spPr>
                        <wps:bodyPr wrap="square" lIns="0" tIns="0" rIns="0" bIns="0" rtlCol="0">
                          <a:prstTxWarp prst="textNoShape">
                            <a:avLst/>
                          </a:prstTxWarp>
                          <a:noAutofit/>
                        </wps:bodyPr>
                      </wps:wsp>
                      <wps:wsp>
                        <wps:cNvPr id="140" name="Textbox 140"/>
                        <wps:cNvSpPr txBox="1"/>
                        <wps:spPr>
                          <a:xfrm>
                            <a:off x="1523" y="1523"/>
                            <a:ext cx="751205" cy="375285"/>
                          </a:xfrm>
                          <a:prstGeom prst="rect">
                            <a:avLst/>
                          </a:prstGeom>
                          <a:ln w="3048">
                            <a:solidFill>
                              <a:srgbClr val="000000"/>
                            </a:solidFill>
                            <a:prstDash val="solid"/>
                          </a:ln>
                        </wps:spPr>
                        <wps:txbx>
                          <w:txbxContent>
                            <w:p>
                              <w:pPr>
                                <w:spacing w:before="42"/>
                                <w:ind w:left="195" w:right="0" w:firstLine="0"/>
                                <w:jc w:val="left"/>
                                <w:rPr>
                                  <w:b/>
                                  <w:sz w:val="20"/>
                                </w:rPr>
                              </w:pPr>
                              <w:r>
                                <w:rPr>
                                  <w:b/>
                                  <w:spacing w:val="-2"/>
                                  <w:w w:val="95"/>
                                  <w:sz w:val="20"/>
                                </w:rPr>
                                <w:t>control</w:t>
                              </w:r>
                            </w:p>
                            <w:p>
                              <w:pPr>
                                <w:spacing w:before="63"/>
                                <w:ind w:left="195" w:right="0" w:firstLine="0"/>
                                <w:jc w:val="left"/>
                                <w:rPr>
                                  <w:b/>
                                  <w:sz w:val="20"/>
                                </w:rPr>
                              </w:pPr>
                              <w:r>
                                <w:rPr>
                                  <w:b/>
                                  <w:spacing w:val="-2"/>
                                  <w:w w:val="85"/>
                                  <w:sz w:val="20"/>
                                </w:rPr>
                                <w:t>experimental</w:t>
                              </w:r>
                            </w:p>
                          </w:txbxContent>
                        </wps:txbx>
                        <wps:bodyPr wrap="square" lIns="0" tIns="0" rIns="0" bIns="0" rtlCol="0">
                          <a:noAutofit/>
                        </wps:bodyPr>
                      </wps:wsp>
                    </wpg:wgp>
                  </a:graphicData>
                </a:graphic>
              </wp:anchor>
            </w:drawing>
          </mc:Choice>
          <mc:Fallback>
            <w:pict>
              <v:group style="position:absolute;margin-left:461.579987pt;margin-top:8.960625pt;width:59.4pt;height:29.75pt;mso-position-horizontal-relative:page;mso-position-vertical-relative:paragraph;z-index:-15717888;mso-wrap-distance-left:0;mso-wrap-distance-right:0" id="docshapegroup126" coordorigin="9232,179" coordsize="1188,595">
                <v:rect style="position:absolute;left:9286;top:274;width:105;height:130" id="docshape127" filled="true" fillcolor="#0000ff" stroked="false">
                  <v:fill type="solid"/>
                </v:rect>
                <v:rect style="position:absolute;left:9286;top:274;width:105;height:130" id="docshape128" filled="false" stroked="true" strokeweight=".64432pt" strokecolor="#000000">
                  <v:stroke dashstyle="solid"/>
                </v:rect>
                <v:rect style="position:absolute;left:9286;top:569;width:105;height:130" id="docshape129" filled="true" fillcolor="#00ffff" stroked="false">
                  <v:fill type="solid"/>
                </v:rect>
                <v:rect style="position:absolute;left:9286;top:569;width:105;height:130" id="docshape130" filled="false" stroked="true" strokeweight=".64432pt" strokecolor="#000000">
                  <v:stroke dashstyle="solid"/>
                </v:rect>
                <v:shape style="position:absolute;left:9234;top:181;width:1183;height:591" type="#_x0000_t202" id="docshape131" filled="false" stroked="true" strokeweight=".24pt" strokecolor="#000000">
                  <v:textbox inset="0,0,0,0">
                    <w:txbxContent>
                      <w:p>
                        <w:pPr>
                          <w:spacing w:before="42"/>
                          <w:ind w:left="195" w:right="0" w:firstLine="0"/>
                          <w:jc w:val="left"/>
                          <w:rPr>
                            <w:b/>
                            <w:sz w:val="20"/>
                          </w:rPr>
                        </w:pPr>
                        <w:r>
                          <w:rPr>
                            <w:b/>
                            <w:spacing w:val="-2"/>
                            <w:w w:val="95"/>
                            <w:sz w:val="20"/>
                          </w:rPr>
                          <w:t>control</w:t>
                        </w:r>
                      </w:p>
                      <w:p>
                        <w:pPr>
                          <w:spacing w:before="63"/>
                          <w:ind w:left="195" w:right="0" w:firstLine="0"/>
                          <w:jc w:val="left"/>
                          <w:rPr>
                            <w:b/>
                            <w:sz w:val="20"/>
                          </w:rPr>
                        </w:pPr>
                        <w:r>
                          <w:rPr>
                            <w:b/>
                            <w:spacing w:val="-2"/>
                            <w:w w:val="85"/>
                            <w:sz w:val="20"/>
                          </w:rPr>
                          <w:t>experimental</w:t>
                        </w:r>
                      </w:p>
                    </w:txbxContent>
                  </v:textbox>
                  <v:stroke dashstyle="solid"/>
                  <w10:wrap type="none"/>
                </v:shape>
                <w10:wrap type="topAndBottom"/>
              </v:group>
            </w:pict>
          </mc:Fallback>
        </mc:AlternateContent>
      </w:r>
    </w:p>
    <w:p>
      <w:pPr>
        <w:spacing w:before="177"/>
        <w:ind w:left="1150" w:right="0" w:firstLine="0"/>
        <w:jc w:val="left"/>
        <w:rPr>
          <w:b/>
          <w:sz w:val="20"/>
        </w:rPr>
      </w:pPr>
      <w:r>
        <w:rPr>
          <w:b/>
          <w:spacing w:val="-5"/>
          <w:w w:val="95"/>
          <w:sz w:val="20"/>
        </w:rPr>
        <w:t>10</w:t>
      </w:r>
    </w:p>
    <w:p>
      <w:pPr>
        <w:pStyle w:val="BodyText"/>
        <w:rPr>
          <w:b/>
          <w:sz w:val="20"/>
        </w:rPr>
      </w:pPr>
    </w:p>
    <w:p>
      <w:pPr>
        <w:pStyle w:val="BodyText"/>
        <w:rPr>
          <w:b/>
          <w:sz w:val="20"/>
        </w:rPr>
      </w:pPr>
    </w:p>
    <w:p>
      <w:pPr>
        <w:pStyle w:val="BodyText"/>
        <w:rPr>
          <w:b/>
          <w:sz w:val="20"/>
        </w:rPr>
      </w:pPr>
    </w:p>
    <w:p>
      <w:pPr>
        <w:pStyle w:val="BodyText"/>
        <w:spacing w:before="30"/>
        <w:rPr>
          <w:b/>
          <w:sz w:val="20"/>
        </w:rPr>
      </w:pPr>
    </w:p>
    <w:p>
      <w:pPr>
        <w:spacing w:before="0"/>
        <w:ind w:left="1236" w:right="0" w:firstLine="0"/>
        <w:jc w:val="left"/>
        <w:rPr>
          <w:b/>
          <w:sz w:val="20"/>
        </w:rPr>
      </w:pPr>
      <w:r>
        <w:rPr>
          <w:b/>
          <w:spacing w:val="-10"/>
          <w:w w:val="95"/>
          <w:sz w:val="20"/>
        </w:rPr>
        <w:t>5</w:t>
      </w:r>
    </w:p>
    <w:p>
      <w:pPr>
        <w:pStyle w:val="BodyText"/>
        <w:rPr>
          <w:b/>
          <w:sz w:val="20"/>
        </w:rPr>
      </w:pPr>
    </w:p>
    <w:p>
      <w:pPr>
        <w:pStyle w:val="BodyText"/>
        <w:rPr>
          <w:b/>
          <w:sz w:val="20"/>
        </w:rPr>
      </w:pPr>
    </w:p>
    <w:p>
      <w:pPr>
        <w:pStyle w:val="BodyText"/>
        <w:rPr>
          <w:b/>
          <w:sz w:val="20"/>
        </w:rPr>
      </w:pPr>
    </w:p>
    <w:p>
      <w:pPr>
        <w:pStyle w:val="BodyText"/>
        <w:spacing w:before="31"/>
        <w:rPr>
          <w:b/>
          <w:sz w:val="20"/>
        </w:rPr>
      </w:pPr>
    </w:p>
    <w:p>
      <w:pPr>
        <w:spacing w:before="0"/>
        <w:ind w:left="1236" w:right="0" w:firstLine="0"/>
        <w:jc w:val="left"/>
        <w:rPr>
          <w:b/>
          <w:sz w:val="20"/>
        </w:rPr>
      </w:pPr>
      <w:r>
        <w:rPr>
          <w:b/>
          <w:spacing w:val="-10"/>
          <w:w w:val="95"/>
          <w:sz w:val="20"/>
        </w:rPr>
        <w:t>0</w:t>
      </w:r>
    </w:p>
    <w:p>
      <w:pPr>
        <w:tabs>
          <w:tab w:pos="4183" w:val="left" w:leader="none"/>
          <w:tab w:pos="6142" w:val="left" w:leader="none"/>
        </w:tabs>
        <w:spacing w:before="82"/>
        <w:ind w:left="2057" w:right="0" w:firstLine="0"/>
        <w:jc w:val="left"/>
        <w:rPr>
          <w:b/>
          <w:sz w:val="20"/>
        </w:rPr>
      </w:pPr>
      <w:r>
        <w:rPr>
          <w:b/>
          <w:w w:val="85"/>
          <w:sz w:val="20"/>
        </w:rPr>
        <w:t>30</w:t>
      </w:r>
      <w:r>
        <w:rPr>
          <w:b/>
          <w:spacing w:val="-3"/>
          <w:w w:val="85"/>
          <w:sz w:val="20"/>
        </w:rPr>
        <w:t> </w:t>
      </w:r>
      <w:r>
        <w:rPr>
          <w:b/>
          <w:spacing w:val="-2"/>
          <w:w w:val="95"/>
          <w:sz w:val="20"/>
        </w:rPr>
        <w:t>minutes</w:t>
      </w:r>
      <w:r>
        <w:rPr>
          <w:b/>
          <w:sz w:val="20"/>
        </w:rPr>
        <w:tab/>
      </w:r>
      <w:r>
        <w:rPr>
          <w:b/>
          <w:w w:val="85"/>
          <w:sz w:val="20"/>
        </w:rPr>
        <w:t>1</w:t>
      </w:r>
      <w:r>
        <w:rPr>
          <w:b/>
          <w:spacing w:val="-4"/>
          <w:w w:val="85"/>
          <w:sz w:val="20"/>
        </w:rPr>
        <w:t> </w:t>
      </w:r>
      <w:r>
        <w:rPr>
          <w:b/>
          <w:spacing w:val="-4"/>
          <w:w w:val="95"/>
          <w:sz w:val="20"/>
        </w:rPr>
        <w:t>Hour</w:t>
      </w:r>
      <w:r>
        <w:rPr>
          <w:b/>
          <w:sz w:val="20"/>
        </w:rPr>
        <w:tab/>
      </w:r>
      <w:r>
        <w:rPr>
          <w:b/>
          <w:w w:val="85"/>
          <w:sz w:val="20"/>
        </w:rPr>
        <w:t>2</w:t>
      </w:r>
      <w:r>
        <w:rPr>
          <w:b/>
          <w:spacing w:val="-4"/>
          <w:w w:val="85"/>
          <w:sz w:val="20"/>
        </w:rPr>
        <w:t> </w:t>
      </w:r>
      <w:r>
        <w:rPr>
          <w:b/>
          <w:spacing w:val="-4"/>
          <w:w w:val="95"/>
          <w:sz w:val="20"/>
        </w:rPr>
        <w:t>Hours</w:t>
      </w:r>
    </w:p>
    <w:p>
      <w:pPr>
        <w:pStyle w:val="BodyText"/>
        <w:spacing w:before="252"/>
        <w:rPr>
          <w:b/>
        </w:rPr>
      </w:pPr>
    </w:p>
    <w:p>
      <w:pPr>
        <w:pStyle w:val="Heading3"/>
        <w:spacing w:line="491" w:lineRule="auto"/>
        <w:ind w:right="819"/>
      </w:pPr>
      <w:r>
        <w:rPr/>
        <w:t>Figure</w:t>
      </w:r>
      <w:r>
        <w:rPr>
          <w:spacing w:val="40"/>
        </w:rPr>
        <w:t> </w:t>
      </w:r>
      <w:r>
        <w:rPr/>
        <w:t>4.5:</w:t>
      </w:r>
      <w:r>
        <w:rPr>
          <w:spacing w:val="40"/>
        </w:rPr>
        <w:t> </w:t>
      </w:r>
      <w:r>
        <w:rPr/>
        <w:t>Latencies</w:t>
      </w:r>
      <w:r>
        <w:rPr>
          <w:spacing w:val="38"/>
        </w:rPr>
        <w:t> </w:t>
      </w:r>
      <w:r>
        <w:rPr/>
        <w:t>of</w:t>
      </w:r>
      <w:r>
        <w:rPr>
          <w:spacing w:val="40"/>
        </w:rPr>
        <w:t> </w:t>
      </w:r>
      <w:r>
        <w:rPr/>
        <w:t>the</w:t>
      </w:r>
      <w:r>
        <w:rPr>
          <w:spacing w:val="40"/>
        </w:rPr>
        <w:t> </w:t>
      </w:r>
      <w:r>
        <w:rPr/>
        <w:t>control</w:t>
      </w:r>
      <w:r>
        <w:rPr>
          <w:spacing w:val="39"/>
        </w:rPr>
        <w:t> </w:t>
      </w:r>
      <w:r>
        <w:rPr/>
        <w:t>and</w:t>
      </w:r>
      <w:r>
        <w:rPr>
          <w:spacing w:val="40"/>
        </w:rPr>
        <w:t> </w:t>
      </w:r>
      <w:r>
        <w:rPr/>
        <w:t>experimental</w:t>
      </w:r>
      <w:r>
        <w:rPr>
          <w:spacing w:val="40"/>
        </w:rPr>
        <w:t> </w:t>
      </w:r>
      <w:r>
        <w:rPr/>
        <w:t>groups</w:t>
      </w:r>
      <w:r>
        <w:rPr>
          <w:spacing w:val="40"/>
        </w:rPr>
        <w:t> </w:t>
      </w:r>
      <w:r>
        <w:rPr/>
        <w:t>during</w:t>
      </w:r>
      <w:r>
        <w:rPr>
          <w:spacing w:val="40"/>
        </w:rPr>
        <w:t> </w:t>
      </w:r>
      <w:r>
        <w:rPr/>
        <w:t>beam</w:t>
      </w:r>
      <w:r>
        <w:rPr>
          <w:spacing w:val="40"/>
        </w:rPr>
        <w:t> </w:t>
      </w:r>
      <w:r>
        <w:rPr/>
        <w:t>walk performance test</w:t>
      </w:r>
    </w:p>
    <w:p>
      <w:pPr>
        <w:spacing w:after="0" w:line="491" w:lineRule="auto"/>
        <w:sectPr>
          <w:pgSz w:w="12240" w:h="15840"/>
          <w:pgMar w:header="0" w:footer="916" w:top="1820" w:bottom="1100" w:left="1720" w:right="960"/>
        </w:sectPr>
      </w:pPr>
    </w:p>
    <w:p>
      <w:pPr>
        <w:pStyle w:val="Heading3"/>
        <w:numPr>
          <w:ilvl w:val="2"/>
          <w:numId w:val="25"/>
        </w:numPr>
        <w:tabs>
          <w:tab w:pos="1171" w:val="left" w:leader="none"/>
        </w:tabs>
        <w:spacing w:line="240" w:lineRule="auto" w:before="80" w:after="0"/>
        <w:ind w:left="1171" w:right="0" w:hanging="506"/>
        <w:jc w:val="left"/>
      </w:pPr>
      <w:bookmarkStart w:name="_TOC_250015" w:id="42"/>
      <w:r>
        <w:rPr/>
        <w:t>Foot-slips</w:t>
      </w:r>
      <w:r>
        <w:rPr>
          <w:spacing w:val="11"/>
        </w:rPr>
        <w:t> </w:t>
      </w:r>
      <w:r>
        <w:rPr/>
        <w:t>in</w:t>
      </w:r>
      <w:r>
        <w:rPr>
          <w:spacing w:val="13"/>
        </w:rPr>
        <w:t> </w:t>
      </w:r>
      <w:r>
        <w:rPr/>
        <w:t>the</w:t>
      </w:r>
      <w:r>
        <w:rPr>
          <w:spacing w:val="14"/>
        </w:rPr>
        <w:t> </w:t>
      </w:r>
      <w:r>
        <w:rPr/>
        <w:t>control</w:t>
      </w:r>
      <w:r>
        <w:rPr>
          <w:spacing w:val="6"/>
        </w:rPr>
        <w:t> </w:t>
      </w:r>
      <w:r>
        <w:rPr/>
        <w:t>and</w:t>
      </w:r>
      <w:r>
        <w:rPr>
          <w:spacing w:val="19"/>
        </w:rPr>
        <w:t> </w:t>
      </w:r>
      <w:r>
        <w:rPr/>
        <w:t>experimental</w:t>
      </w:r>
      <w:r>
        <w:rPr>
          <w:spacing w:val="7"/>
        </w:rPr>
        <w:t> </w:t>
      </w:r>
      <w:bookmarkEnd w:id="42"/>
      <w:r>
        <w:rPr>
          <w:spacing w:val="-2"/>
        </w:rPr>
        <w:t>groups</w:t>
      </w:r>
    </w:p>
    <w:p>
      <w:pPr>
        <w:pStyle w:val="BodyText"/>
        <w:spacing w:before="7"/>
        <w:rPr>
          <w:b/>
        </w:rPr>
      </w:pPr>
    </w:p>
    <w:p>
      <w:pPr>
        <w:pStyle w:val="BodyText"/>
        <w:spacing w:line="491" w:lineRule="auto" w:before="1"/>
        <w:ind w:left="665" w:right="897"/>
        <w:jc w:val="both"/>
      </w:pPr>
      <w:r>
        <w:rPr/>
        <w:t>There</w:t>
      </w:r>
      <w:r>
        <w:rPr>
          <w:spacing w:val="24"/>
        </w:rPr>
        <w:t> </w:t>
      </w:r>
      <w:r>
        <w:rPr/>
        <w:t>was</w:t>
      </w:r>
      <w:r>
        <w:rPr>
          <w:spacing w:val="33"/>
        </w:rPr>
        <w:t> </w:t>
      </w:r>
      <w:r>
        <w:rPr/>
        <w:t>no</w:t>
      </w:r>
      <w:r>
        <w:rPr>
          <w:spacing w:val="37"/>
        </w:rPr>
        <w:t> </w:t>
      </w:r>
      <w:r>
        <w:rPr/>
        <w:t>any significant</w:t>
      </w:r>
      <w:r>
        <w:rPr>
          <w:spacing w:val="34"/>
        </w:rPr>
        <w:t> </w:t>
      </w:r>
      <w:r>
        <w:rPr/>
        <w:t>change</w:t>
      </w:r>
      <w:r>
        <w:rPr>
          <w:spacing w:val="24"/>
        </w:rPr>
        <w:t> </w:t>
      </w:r>
      <w:r>
        <w:rPr/>
        <w:t>(P</w:t>
      </w:r>
      <w:r>
        <w:rPr>
          <w:spacing w:val="34"/>
        </w:rPr>
        <w:t> </w:t>
      </w:r>
      <w:r>
        <w:rPr/>
        <w:t>&gt;</w:t>
      </w:r>
      <w:r>
        <w:rPr>
          <w:spacing w:val="31"/>
        </w:rPr>
        <w:t> </w:t>
      </w:r>
      <w:r>
        <w:rPr/>
        <w:t>0.05)</w:t>
      </w:r>
      <w:r>
        <w:rPr>
          <w:spacing w:val="30"/>
        </w:rPr>
        <w:t> </w:t>
      </w:r>
      <w:r>
        <w:rPr/>
        <w:t>in the</w:t>
      </w:r>
      <w:r>
        <w:rPr>
          <w:spacing w:val="36"/>
        </w:rPr>
        <w:t> </w:t>
      </w:r>
      <w:r>
        <w:rPr/>
        <w:t>mean</w:t>
      </w:r>
      <w:r>
        <w:rPr>
          <w:spacing w:val="26"/>
        </w:rPr>
        <w:t> </w:t>
      </w:r>
      <w:r>
        <w:rPr/>
        <w:t>frequency of</w:t>
      </w:r>
      <w:r>
        <w:rPr>
          <w:spacing w:val="30"/>
        </w:rPr>
        <w:t> </w:t>
      </w:r>
      <w:r>
        <w:rPr/>
        <w:t>foot-slips</w:t>
      </w:r>
      <w:r>
        <w:rPr>
          <w:spacing w:val="21"/>
        </w:rPr>
        <w:t> </w:t>
      </w:r>
      <w:r>
        <w:rPr/>
        <w:t>of the experimental animals (Table 4.9) when compared to their controls in all the three periods of exposure (Fig. 4.6).</w:t>
      </w:r>
    </w:p>
    <w:p>
      <w:pPr>
        <w:spacing w:after="0" w:line="491" w:lineRule="auto"/>
        <w:jc w:val="both"/>
        <w:sectPr>
          <w:pgSz w:w="12240" w:h="15840"/>
          <w:pgMar w:header="0" w:footer="916" w:top="1260" w:bottom="1100" w:left="1720" w:right="960"/>
        </w:sectPr>
      </w:pPr>
    </w:p>
    <w:p>
      <w:pPr>
        <w:spacing w:before="73"/>
        <w:ind w:left="1275" w:right="0" w:firstLine="0"/>
        <w:jc w:val="left"/>
        <w:rPr>
          <w:rFonts w:ascii="Arial MT"/>
          <w:sz w:val="15"/>
        </w:rPr>
      </w:pPr>
      <w:r>
        <w:rPr/>
        <mc:AlternateContent>
          <mc:Choice Requires="wps">
            <w:drawing>
              <wp:anchor distT="0" distB="0" distL="0" distR="0" allowOverlap="1" layoutInCell="1" locked="0" behindDoc="0" simplePos="0" relativeHeight="15740928">
                <wp:simplePos x="0" y="0"/>
                <wp:positionH relativeFrom="page">
                  <wp:posOffset>1977580</wp:posOffset>
                </wp:positionH>
                <wp:positionV relativeFrom="paragraph">
                  <wp:posOffset>104139</wp:posOffset>
                </wp:positionV>
                <wp:extent cx="4663440" cy="4010025"/>
                <wp:effectExtent l="0" t="0" r="0" b="0"/>
                <wp:wrapNone/>
                <wp:docPr id="141" name="Group 141"/>
                <wp:cNvGraphicFramePr>
                  <a:graphicFrameLocks/>
                </wp:cNvGraphicFramePr>
                <a:graphic>
                  <a:graphicData uri="http://schemas.microsoft.com/office/word/2010/wordprocessingGroup">
                    <wpg:wgp>
                      <wpg:cNvPr id="141" name="Group 141"/>
                      <wpg:cNvGrpSpPr/>
                      <wpg:grpSpPr>
                        <a:xfrm>
                          <a:off x="0" y="0"/>
                          <a:ext cx="4663440" cy="4010025"/>
                          <a:chExt cx="4663440" cy="4010025"/>
                        </a:xfrm>
                      </wpg:grpSpPr>
                      <wps:wsp>
                        <wps:cNvPr id="142" name="Graphic 142"/>
                        <wps:cNvSpPr/>
                        <wps:spPr>
                          <a:xfrm>
                            <a:off x="354711" y="3437001"/>
                            <a:ext cx="441959" cy="528955"/>
                          </a:xfrm>
                          <a:custGeom>
                            <a:avLst/>
                            <a:gdLst/>
                            <a:ahLst/>
                            <a:cxnLst/>
                            <a:rect l="l" t="t" r="r" b="b"/>
                            <a:pathLst>
                              <a:path w="441959" h="528955">
                                <a:moveTo>
                                  <a:pt x="441769" y="0"/>
                                </a:moveTo>
                                <a:lnTo>
                                  <a:pt x="0" y="0"/>
                                </a:lnTo>
                                <a:lnTo>
                                  <a:pt x="0" y="528447"/>
                                </a:lnTo>
                                <a:lnTo>
                                  <a:pt x="441769" y="528447"/>
                                </a:lnTo>
                                <a:lnTo>
                                  <a:pt x="441769" y="0"/>
                                </a:lnTo>
                                <a:close/>
                              </a:path>
                            </a:pathLst>
                          </a:custGeom>
                          <a:solidFill>
                            <a:srgbClr val="9999FF"/>
                          </a:solidFill>
                        </wps:spPr>
                        <wps:bodyPr wrap="square" lIns="0" tIns="0" rIns="0" bIns="0" rtlCol="0">
                          <a:prstTxWarp prst="textNoShape">
                            <a:avLst/>
                          </a:prstTxWarp>
                          <a:noAutofit/>
                        </wps:bodyPr>
                      </wps:wsp>
                      <wps:wsp>
                        <wps:cNvPr id="143" name="Graphic 143"/>
                        <wps:cNvSpPr/>
                        <wps:spPr>
                          <a:xfrm>
                            <a:off x="354711" y="3437001"/>
                            <a:ext cx="441959" cy="528955"/>
                          </a:xfrm>
                          <a:custGeom>
                            <a:avLst/>
                            <a:gdLst/>
                            <a:ahLst/>
                            <a:cxnLst/>
                            <a:rect l="l" t="t" r="r" b="b"/>
                            <a:pathLst>
                              <a:path w="441959" h="528955">
                                <a:moveTo>
                                  <a:pt x="0" y="0"/>
                                </a:moveTo>
                                <a:lnTo>
                                  <a:pt x="441769" y="0"/>
                                </a:lnTo>
                                <a:lnTo>
                                  <a:pt x="441769" y="528447"/>
                                </a:lnTo>
                                <a:lnTo>
                                  <a:pt x="0" y="528447"/>
                                </a:lnTo>
                                <a:lnTo>
                                  <a:pt x="0" y="0"/>
                                </a:lnTo>
                                <a:close/>
                              </a:path>
                            </a:pathLst>
                          </a:custGeom>
                          <a:ln w="8328">
                            <a:solidFill>
                              <a:srgbClr val="000000"/>
                            </a:solidFill>
                            <a:prstDash val="solid"/>
                          </a:ln>
                        </wps:spPr>
                        <wps:bodyPr wrap="square" lIns="0" tIns="0" rIns="0" bIns="0" rtlCol="0">
                          <a:prstTxWarp prst="textNoShape">
                            <a:avLst/>
                          </a:prstTxWarp>
                          <a:noAutofit/>
                        </wps:bodyPr>
                      </wps:wsp>
                      <wps:wsp>
                        <wps:cNvPr id="144" name="Graphic 144"/>
                        <wps:cNvSpPr/>
                        <wps:spPr>
                          <a:xfrm>
                            <a:off x="1900427" y="3437001"/>
                            <a:ext cx="442595" cy="528955"/>
                          </a:xfrm>
                          <a:custGeom>
                            <a:avLst/>
                            <a:gdLst/>
                            <a:ahLst/>
                            <a:cxnLst/>
                            <a:rect l="l" t="t" r="r" b="b"/>
                            <a:pathLst>
                              <a:path w="442595" h="528955">
                                <a:moveTo>
                                  <a:pt x="442531" y="0"/>
                                </a:moveTo>
                                <a:lnTo>
                                  <a:pt x="0" y="0"/>
                                </a:lnTo>
                                <a:lnTo>
                                  <a:pt x="0" y="528447"/>
                                </a:lnTo>
                                <a:lnTo>
                                  <a:pt x="442531" y="528447"/>
                                </a:lnTo>
                                <a:lnTo>
                                  <a:pt x="442531" y="0"/>
                                </a:lnTo>
                                <a:close/>
                              </a:path>
                            </a:pathLst>
                          </a:custGeom>
                          <a:solidFill>
                            <a:srgbClr val="9999FF"/>
                          </a:solidFill>
                        </wps:spPr>
                        <wps:bodyPr wrap="square" lIns="0" tIns="0" rIns="0" bIns="0" rtlCol="0">
                          <a:prstTxWarp prst="textNoShape">
                            <a:avLst/>
                          </a:prstTxWarp>
                          <a:noAutofit/>
                        </wps:bodyPr>
                      </wps:wsp>
                      <wps:wsp>
                        <wps:cNvPr id="145" name="Graphic 145"/>
                        <wps:cNvSpPr/>
                        <wps:spPr>
                          <a:xfrm>
                            <a:off x="1900427" y="3437001"/>
                            <a:ext cx="442595" cy="528955"/>
                          </a:xfrm>
                          <a:custGeom>
                            <a:avLst/>
                            <a:gdLst/>
                            <a:ahLst/>
                            <a:cxnLst/>
                            <a:rect l="l" t="t" r="r" b="b"/>
                            <a:pathLst>
                              <a:path w="442595" h="528955">
                                <a:moveTo>
                                  <a:pt x="0" y="0"/>
                                </a:moveTo>
                                <a:lnTo>
                                  <a:pt x="442531" y="0"/>
                                </a:lnTo>
                                <a:lnTo>
                                  <a:pt x="442531" y="528447"/>
                                </a:lnTo>
                                <a:lnTo>
                                  <a:pt x="0" y="528447"/>
                                </a:lnTo>
                                <a:lnTo>
                                  <a:pt x="0" y="0"/>
                                </a:lnTo>
                                <a:close/>
                              </a:path>
                            </a:pathLst>
                          </a:custGeom>
                          <a:ln w="8328">
                            <a:solidFill>
                              <a:srgbClr val="000000"/>
                            </a:solidFill>
                            <a:prstDash val="solid"/>
                          </a:ln>
                        </wps:spPr>
                        <wps:bodyPr wrap="square" lIns="0" tIns="0" rIns="0" bIns="0" rtlCol="0">
                          <a:prstTxWarp prst="textNoShape">
                            <a:avLst/>
                          </a:prstTxWarp>
                          <a:noAutofit/>
                        </wps:bodyPr>
                      </wps:wsp>
                      <wps:wsp>
                        <wps:cNvPr id="146" name="Graphic 146"/>
                        <wps:cNvSpPr/>
                        <wps:spPr>
                          <a:xfrm>
                            <a:off x="3447097" y="2115311"/>
                            <a:ext cx="441959" cy="1850389"/>
                          </a:xfrm>
                          <a:custGeom>
                            <a:avLst/>
                            <a:gdLst/>
                            <a:ahLst/>
                            <a:cxnLst/>
                            <a:rect l="l" t="t" r="r" b="b"/>
                            <a:pathLst>
                              <a:path w="441959" h="1850389">
                                <a:moveTo>
                                  <a:pt x="441579" y="0"/>
                                </a:moveTo>
                                <a:lnTo>
                                  <a:pt x="0" y="0"/>
                                </a:lnTo>
                                <a:lnTo>
                                  <a:pt x="0" y="1850136"/>
                                </a:lnTo>
                                <a:lnTo>
                                  <a:pt x="441579" y="1850136"/>
                                </a:lnTo>
                                <a:lnTo>
                                  <a:pt x="441579" y="0"/>
                                </a:lnTo>
                                <a:close/>
                              </a:path>
                            </a:pathLst>
                          </a:custGeom>
                          <a:solidFill>
                            <a:srgbClr val="9999FF"/>
                          </a:solidFill>
                        </wps:spPr>
                        <wps:bodyPr wrap="square" lIns="0" tIns="0" rIns="0" bIns="0" rtlCol="0">
                          <a:prstTxWarp prst="textNoShape">
                            <a:avLst/>
                          </a:prstTxWarp>
                          <a:noAutofit/>
                        </wps:bodyPr>
                      </wps:wsp>
                      <wps:wsp>
                        <wps:cNvPr id="147" name="Graphic 147"/>
                        <wps:cNvSpPr/>
                        <wps:spPr>
                          <a:xfrm>
                            <a:off x="3447097" y="2115311"/>
                            <a:ext cx="441959" cy="1850389"/>
                          </a:xfrm>
                          <a:custGeom>
                            <a:avLst/>
                            <a:gdLst/>
                            <a:ahLst/>
                            <a:cxnLst/>
                            <a:rect l="l" t="t" r="r" b="b"/>
                            <a:pathLst>
                              <a:path w="441959" h="1850389">
                                <a:moveTo>
                                  <a:pt x="0" y="0"/>
                                </a:moveTo>
                                <a:lnTo>
                                  <a:pt x="441579" y="0"/>
                                </a:lnTo>
                                <a:lnTo>
                                  <a:pt x="441579" y="1850136"/>
                                </a:lnTo>
                                <a:lnTo>
                                  <a:pt x="0" y="1850136"/>
                                </a:lnTo>
                                <a:lnTo>
                                  <a:pt x="0" y="0"/>
                                </a:lnTo>
                                <a:close/>
                              </a:path>
                            </a:pathLst>
                          </a:custGeom>
                          <a:ln w="8328">
                            <a:solidFill>
                              <a:srgbClr val="000000"/>
                            </a:solidFill>
                            <a:prstDash val="solid"/>
                          </a:ln>
                        </wps:spPr>
                        <wps:bodyPr wrap="square" lIns="0" tIns="0" rIns="0" bIns="0" rtlCol="0">
                          <a:prstTxWarp prst="textNoShape">
                            <a:avLst/>
                          </a:prstTxWarp>
                          <a:noAutofit/>
                        </wps:bodyPr>
                      </wps:wsp>
                      <wps:wsp>
                        <wps:cNvPr id="148" name="Graphic 148"/>
                        <wps:cNvSpPr/>
                        <wps:spPr>
                          <a:xfrm>
                            <a:off x="796480" y="3437001"/>
                            <a:ext cx="441959" cy="528955"/>
                          </a:xfrm>
                          <a:custGeom>
                            <a:avLst/>
                            <a:gdLst/>
                            <a:ahLst/>
                            <a:cxnLst/>
                            <a:rect l="l" t="t" r="r" b="b"/>
                            <a:pathLst>
                              <a:path w="441959" h="528955">
                                <a:moveTo>
                                  <a:pt x="441578" y="0"/>
                                </a:moveTo>
                                <a:lnTo>
                                  <a:pt x="0" y="0"/>
                                </a:lnTo>
                                <a:lnTo>
                                  <a:pt x="0" y="528447"/>
                                </a:lnTo>
                                <a:lnTo>
                                  <a:pt x="441578" y="528447"/>
                                </a:lnTo>
                                <a:lnTo>
                                  <a:pt x="441578" y="0"/>
                                </a:lnTo>
                                <a:close/>
                              </a:path>
                            </a:pathLst>
                          </a:custGeom>
                          <a:solidFill>
                            <a:srgbClr val="993366"/>
                          </a:solidFill>
                        </wps:spPr>
                        <wps:bodyPr wrap="square" lIns="0" tIns="0" rIns="0" bIns="0" rtlCol="0">
                          <a:prstTxWarp prst="textNoShape">
                            <a:avLst/>
                          </a:prstTxWarp>
                          <a:noAutofit/>
                        </wps:bodyPr>
                      </wps:wsp>
                      <wps:wsp>
                        <wps:cNvPr id="149" name="Graphic 149"/>
                        <wps:cNvSpPr/>
                        <wps:spPr>
                          <a:xfrm>
                            <a:off x="796480" y="3437001"/>
                            <a:ext cx="441959" cy="528955"/>
                          </a:xfrm>
                          <a:custGeom>
                            <a:avLst/>
                            <a:gdLst/>
                            <a:ahLst/>
                            <a:cxnLst/>
                            <a:rect l="l" t="t" r="r" b="b"/>
                            <a:pathLst>
                              <a:path w="441959" h="528955">
                                <a:moveTo>
                                  <a:pt x="0" y="0"/>
                                </a:moveTo>
                                <a:lnTo>
                                  <a:pt x="441578" y="0"/>
                                </a:lnTo>
                                <a:lnTo>
                                  <a:pt x="441578" y="528447"/>
                                </a:lnTo>
                                <a:lnTo>
                                  <a:pt x="0" y="528447"/>
                                </a:lnTo>
                                <a:lnTo>
                                  <a:pt x="0" y="0"/>
                                </a:lnTo>
                                <a:close/>
                              </a:path>
                            </a:pathLst>
                          </a:custGeom>
                          <a:ln w="8328">
                            <a:solidFill>
                              <a:srgbClr val="000000"/>
                            </a:solidFill>
                            <a:prstDash val="solid"/>
                          </a:ln>
                        </wps:spPr>
                        <wps:bodyPr wrap="square" lIns="0" tIns="0" rIns="0" bIns="0" rtlCol="0">
                          <a:prstTxWarp prst="textNoShape">
                            <a:avLst/>
                          </a:prstTxWarp>
                          <a:noAutofit/>
                        </wps:bodyPr>
                      </wps:wsp>
                      <wps:wsp>
                        <wps:cNvPr id="150" name="Graphic 150"/>
                        <wps:cNvSpPr/>
                        <wps:spPr>
                          <a:xfrm>
                            <a:off x="2342959" y="2380107"/>
                            <a:ext cx="441959" cy="1585595"/>
                          </a:xfrm>
                          <a:custGeom>
                            <a:avLst/>
                            <a:gdLst/>
                            <a:ahLst/>
                            <a:cxnLst/>
                            <a:rect l="l" t="t" r="r" b="b"/>
                            <a:pathLst>
                              <a:path w="441959" h="1585595">
                                <a:moveTo>
                                  <a:pt x="441579" y="0"/>
                                </a:moveTo>
                                <a:lnTo>
                                  <a:pt x="0" y="0"/>
                                </a:lnTo>
                                <a:lnTo>
                                  <a:pt x="0" y="1585340"/>
                                </a:lnTo>
                                <a:lnTo>
                                  <a:pt x="441579" y="1585340"/>
                                </a:lnTo>
                                <a:lnTo>
                                  <a:pt x="441579" y="0"/>
                                </a:lnTo>
                                <a:close/>
                              </a:path>
                            </a:pathLst>
                          </a:custGeom>
                          <a:solidFill>
                            <a:srgbClr val="993366"/>
                          </a:solidFill>
                        </wps:spPr>
                        <wps:bodyPr wrap="square" lIns="0" tIns="0" rIns="0" bIns="0" rtlCol="0">
                          <a:prstTxWarp prst="textNoShape">
                            <a:avLst/>
                          </a:prstTxWarp>
                          <a:noAutofit/>
                        </wps:bodyPr>
                      </wps:wsp>
                      <wps:wsp>
                        <wps:cNvPr id="151" name="Graphic 151"/>
                        <wps:cNvSpPr/>
                        <wps:spPr>
                          <a:xfrm>
                            <a:off x="2342959" y="2380107"/>
                            <a:ext cx="441959" cy="1585595"/>
                          </a:xfrm>
                          <a:custGeom>
                            <a:avLst/>
                            <a:gdLst/>
                            <a:ahLst/>
                            <a:cxnLst/>
                            <a:rect l="l" t="t" r="r" b="b"/>
                            <a:pathLst>
                              <a:path w="441959" h="1585595">
                                <a:moveTo>
                                  <a:pt x="0" y="0"/>
                                </a:moveTo>
                                <a:lnTo>
                                  <a:pt x="441579" y="0"/>
                                </a:lnTo>
                                <a:lnTo>
                                  <a:pt x="441579" y="1585340"/>
                                </a:lnTo>
                                <a:lnTo>
                                  <a:pt x="0" y="1585340"/>
                                </a:lnTo>
                                <a:lnTo>
                                  <a:pt x="0" y="0"/>
                                </a:lnTo>
                                <a:close/>
                              </a:path>
                            </a:pathLst>
                          </a:custGeom>
                          <a:ln w="8328">
                            <a:solidFill>
                              <a:srgbClr val="000000"/>
                            </a:solidFill>
                            <a:prstDash val="solid"/>
                          </a:ln>
                        </wps:spPr>
                        <wps:bodyPr wrap="square" lIns="0" tIns="0" rIns="0" bIns="0" rtlCol="0">
                          <a:prstTxWarp prst="textNoShape">
                            <a:avLst/>
                          </a:prstTxWarp>
                          <a:noAutofit/>
                        </wps:bodyPr>
                      </wps:wsp>
                      <wps:wsp>
                        <wps:cNvPr id="152" name="Graphic 152"/>
                        <wps:cNvSpPr/>
                        <wps:spPr>
                          <a:xfrm>
                            <a:off x="3888676" y="794766"/>
                            <a:ext cx="441959" cy="3171190"/>
                          </a:xfrm>
                          <a:custGeom>
                            <a:avLst/>
                            <a:gdLst/>
                            <a:ahLst/>
                            <a:cxnLst/>
                            <a:rect l="l" t="t" r="r" b="b"/>
                            <a:pathLst>
                              <a:path w="441959" h="3171190">
                                <a:moveTo>
                                  <a:pt x="441578" y="0"/>
                                </a:moveTo>
                                <a:lnTo>
                                  <a:pt x="0" y="0"/>
                                </a:lnTo>
                                <a:lnTo>
                                  <a:pt x="0" y="3170682"/>
                                </a:lnTo>
                                <a:lnTo>
                                  <a:pt x="441578" y="3170682"/>
                                </a:lnTo>
                                <a:lnTo>
                                  <a:pt x="441578" y="0"/>
                                </a:lnTo>
                                <a:close/>
                              </a:path>
                            </a:pathLst>
                          </a:custGeom>
                          <a:solidFill>
                            <a:srgbClr val="993366"/>
                          </a:solidFill>
                        </wps:spPr>
                        <wps:bodyPr wrap="square" lIns="0" tIns="0" rIns="0" bIns="0" rtlCol="0">
                          <a:prstTxWarp prst="textNoShape">
                            <a:avLst/>
                          </a:prstTxWarp>
                          <a:noAutofit/>
                        </wps:bodyPr>
                      </wps:wsp>
                      <wps:wsp>
                        <wps:cNvPr id="153" name="Graphic 153"/>
                        <wps:cNvSpPr/>
                        <wps:spPr>
                          <a:xfrm>
                            <a:off x="3888676" y="794766"/>
                            <a:ext cx="441959" cy="3171190"/>
                          </a:xfrm>
                          <a:custGeom>
                            <a:avLst/>
                            <a:gdLst/>
                            <a:ahLst/>
                            <a:cxnLst/>
                            <a:rect l="l" t="t" r="r" b="b"/>
                            <a:pathLst>
                              <a:path w="441959" h="3171190">
                                <a:moveTo>
                                  <a:pt x="0" y="0"/>
                                </a:moveTo>
                                <a:lnTo>
                                  <a:pt x="441578" y="0"/>
                                </a:lnTo>
                                <a:lnTo>
                                  <a:pt x="441578" y="3170682"/>
                                </a:lnTo>
                                <a:lnTo>
                                  <a:pt x="0" y="3170682"/>
                                </a:lnTo>
                                <a:lnTo>
                                  <a:pt x="0" y="0"/>
                                </a:lnTo>
                                <a:close/>
                              </a:path>
                            </a:pathLst>
                          </a:custGeom>
                          <a:ln w="8328">
                            <a:solidFill>
                              <a:srgbClr val="000000"/>
                            </a:solidFill>
                            <a:prstDash val="solid"/>
                          </a:ln>
                        </wps:spPr>
                        <wps:bodyPr wrap="square" lIns="0" tIns="0" rIns="0" bIns="0" rtlCol="0">
                          <a:prstTxWarp prst="textNoShape">
                            <a:avLst/>
                          </a:prstTxWarp>
                          <a:noAutofit/>
                        </wps:bodyPr>
                      </wps:wsp>
                      <wps:wsp>
                        <wps:cNvPr id="154" name="Graphic 154"/>
                        <wps:cNvSpPr/>
                        <wps:spPr>
                          <a:xfrm>
                            <a:off x="556641" y="926020"/>
                            <a:ext cx="3131185" cy="2511425"/>
                          </a:xfrm>
                          <a:custGeom>
                            <a:avLst/>
                            <a:gdLst/>
                            <a:ahLst/>
                            <a:cxnLst/>
                            <a:rect l="l" t="t" r="r" b="b"/>
                            <a:pathLst>
                              <a:path w="3131185" h="2511425">
                                <a:moveTo>
                                  <a:pt x="19050" y="2510980"/>
                                </a:moveTo>
                                <a:lnTo>
                                  <a:pt x="19050" y="1982533"/>
                                </a:lnTo>
                              </a:path>
                              <a:path w="3131185" h="2511425">
                                <a:moveTo>
                                  <a:pt x="0" y="1982533"/>
                                </a:moveTo>
                                <a:lnTo>
                                  <a:pt x="38862" y="1982533"/>
                                </a:lnTo>
                              </a:path>
                              <a:path w="3131185" h="2511425">
                                <a:moveTo>
                                  <a:pt x="1564576" y="2510980"/>
                                </a:moveTo>
                                <a:lnTo>
                                  <a:pt x="1564576" y="1982533"/>
                                </a:lnTo>
                              </a:path>
                              <a:path w="3131185" h="2511425">
                                <a:moveTo>
                                  <a:pt x="1545717" y="1982533"/>
                                </a:moveTo>
                                <a:lnTo>
                                  <a:pt x="1584579" y="1982533"/>
                                </a:lnTo>
                              </a:path>
                              <a:path w="3131185" h="2511425">
                                <a:moveTo>
                                  <a:pt x="3111246" y="1189291"/>
                                </a:moveTo>
                                <a:lnTo>
                                  <a:pt x="3111246" y="0"/>
                                </a:lnTo>
                              </a:path>
                              <a:path w="3131185" h="2511425">
                                <a:moveTo>
                                  <a:pt x="3092196" y="0"/>
                                </a:moveTo>
                                <a:lnTo>
                                  <a:pt x="3131058" y="0"/>
                                </a:lnTo>
                              </a:path>
                            </a:pathLst>
                          </a:custGeom>
                          <a:ln w="8328">
                            <a:solidFill>
                              <a:srgbClr val="000000"/>
                            </a:solidFill>
                            <a:prstDash val="solid"/>
                          </a:ln>
                        </wps:spPr>
                        <wps:bodyPr wrap="square" lIns="0" tIns="0" rIns="0" bIns="0" rtlCol="0">
                          <a:prstTxWarp prst="textNoShape">
                            <a:avLst/>
                          </a:prstTxWarp>
                          <a:noAutofit/>
                        </wps:bodyPr>
                      </wps:wsp>
                      <wps:wsp>
                        <wps:cNvPr id="155" name="Graphic 155"/>
                        <wps:cNvSpPr/>
                        <wps:spPr>
                          <a:xfrm>
                            <a:off x="575691" y="3437001"/>
                            <a:ext cx="1270" cy="528955"/>
                          </a:xfrm>
                          <a:custGeom>
                            <a:avLst/>
                            <a:gdLst/>
                            <a:ahLst/>
                            <a:cxnLst/>
                            <a:rect l="l" t="t" r="r" b="b"/>
                            <a:pathLst>
                              <a:path w="0" h="528955">
                                <a:moveTo>
                                  <a:pt x="0" y="0"/>
                                </a:moveTo>
                                <a:lnTo>
                                  <a:pt x="0" y="528447"/>
                                </a:lnTo>
                              </a:path>
                            </a:pathLst>
                          </a:custGeom>
                          <a:ln w="8328">
                            <a:solidFill>
                              <a:srgbClr val="000000"/>
                            </a:solidFill>
                            <a:prstDash val="solid"/>
                          </a:ln>
                        </wps:spPr>
                        <wps:bodyPr wrap="square" lIns="0" tIns="0" rIns="0" bIns="0" rtlCol="0">
                          <a:prstTxWarp prst="textNoShape">
                            <a:avLst/>
                          </a:prstTxWarp>
                          <a:noAutofit/>
                        </wps:bodyPr>
                      </wps:wsp>
                      <wps:wsp>
                        <wps:cNvPr id="156" name="Graphic 156"/>
                        <wps:cNvSpPr/>
                        <wps:spPr>
                          <a:xfrm>
                            <a:off x="556641" y="3965447"/>
                            <a:ext cx="39370" cy="1270"/>
                          </a:xfrm>
                          <a:custGeom>
                            <a:avLst/>
                            <a:gdLst/>
                            <a:ahLst/>
                            <a:cxnLst/>
                            <a:rect l="l" t="t" r="r" b="b"/>
                            <a:pathLst>
                              <a:path w="39370" h="0">
                                <a:moveTo>
                                  <a:pt x="0" y="0"/>
                                </a:moveTo>
                                <a:lnTo>
                                  <a:pt x="38862" y="0"/>
                                </a:lnTo>
                              </a:path>
                            </a:pathLst>
                          </a:custGeom>
                          <a:ln w="8328">
                            <a:solidFill>
                              <a:srgbClr val="000000"/>
                            </a:solidFill>
                            <a:prstDash val="solid"/>
                          </a:ln>
                        </wps:spPr>
                        <wps:bodyPr wrap="square" lIns="0" tIns="0" rIns="0" bIns="0" rtlCol="0">
                          <a:prstTxWarp prst="textNoShape">
                            <a:avLst/>
                          </a:prstTxWarp>
                          <a:noAutofit/>
                        </wps:bodyPr>
                      </wps:wsp>
                      <wps:wsp>
                        <wps:cNvPr id="157" name="Graphic 157"/>
                        <wps:cNvSpPr/>
                        <wps:spPr>
                          <a:xfrm>
                            <a:off x="2121217" y="3437001"/>
                            <a:ext cx="1270" cy="528955"/>
                          </a:xfrm>
                          <a:custGeom>
                            <a:avLst/>
                            <a:gdLst/>
                            <a:ahLst/>
                            <a:cxnLst/>
                            <a:rect l="l" t="t" r="r" b="b"/>
                            <a:pathLst>
                              <a:path w="0" h="528955">
                                <a:moveTo>
                                  <a:pt x="0" y="0"/>
                                </a:moveTo>
                                <a:lnTo>
                                  <a:pt x="0" y="528447"/>
                                </a:lnTo>
                              </a:path>
                            </a:pathLst>
                          </a:custGeom>
                          <a:ln w="8328">
                            <a:solidFill>
                              <a:srgbClr val="000000"/>
                            </a:solidFill>
                            <a:prstDash val="solid"/>
                          </a:ln>
                        </wps:spPr>
                        <wps:bodyPr wrap="square" lIns="0" tIns="0" rIns="0" bIns="0" rtlCol="0">
                          <a:prstTxWarp prst="textNoShape">
                            <a:avLst/>
                          </a:prstTxWarp>
                          <a:noAutofit/>
                        </wps:bodyPr>
                      </wps:wsp>
                      <wps:wsp>
                        <wps:cNvPr id="158" name="Graphic 158"/>
                        <wps:cNvSpPr/>
                        <wps:spPr>
                          <a:xfrm>
                            <a:off x="2102357" y="3965447"/>
                            <a:ext cx="39370" cy="1270"/>
                          </a:xfrm>
                          <a:custGeom>
                            <a:avLst/>
                            <a:gdLst/>
                            <a:ahLst/>
                            <a:cxnLst/>
                            <a:rect l="l" t="t" r="r" b="b"/>
                            <a:pathLst>
                              <a:path w="39370" h="0">
                                <a:moveTo>
                                  <a:pt x="0" y="0"/>
                                </a:moveTo>
                                <a:lnTo>
                                  <a:pt x="38862" y="0"/>
                                </a:lnTo>
                              </a:path>
                            </a:pathLst>
                          </a:custGeom>
                          <a:ln w="8328">
                            <a:solidFill>
                              <a:srgbClr val="000000"/>
                            </a:solidFill>
                            <a:prstDash val="solid"/>
                          </a:ln>
                        </wps:spPr>
                        <wps:bodyPr wrap="square" lIns="0" tIns="0" rIns="0" bIns="0" rtlCol="0">
                          <a:prstTxWarp prst="textNoShape">
                            <a:avLst/>
                          </a:prstTxWarp>
                          <a:noAutofit/>
                        </wps:bodyPr>
                      </wps:wsp>
                      <wps:wsp>
                        <wps:cNvPr id="159" name="Graphic 159"/>
                        <wps:cNvSpPr/>
                        <wps:spPr>
                          <a:xfrm>
                            <a:off x="998219" y="266318"/>
                            <a:ext cx="3131820" cy="3171190"/>
                          </a:xfrm>
                          <a:custGeom>
                            <a:avLst/>
                            <a:gdLst/>
                            <a:ahLst/>
                            <a:cxnLst/>
                            <a:rect l="l" t="t" r="r" b="b"/>
                            <a:pathLst>
                              <a:path w="3131820" h="3171190">
                                <a:moveTo>
                                  <a:pt x="2669666" y="1848993"/>
                                </a:moveTo>
                                <a:lnTo>
                                  <a:pt x="2669666" y="3038284"/>
                                </a:lnTo>
                              </a:path>
                              <a:path w="3131820" h="3171190">
                                <a:moveTo>
                                  <a:pt x="2650616" y="3038284"/>
                                </a:moveTo>
                                <a:lnTo>
                                  <a:pt x="2689479" y="3038284"/>
                                </a:lnTo>
                              </a:path>
                              <a:path w="3131820" h="3171190">
                                <a:moveTo>
                                  <a:pt x="19050" y="3170682"/>
                                </a:moveTo>
                                <a:lnTo>
                                  <a:pt x="19050" y="2642235"/>
                                </a:lnTo>
                              </a:path>
                              <a:path w="3131820" h="3171190">
                                <a:moveTo>
                                  <a:pt x="0" y="2642235"/>
                                </a:moveTo>
                                <a:lnTo>
                                  <a:pt x="38862" y="2642235"/>
                                </a:lnTo>
                              </a:path>
                              <a:path w="3131820" h="3171190">
                                <a:moveTo>
                                  <a:pt x="1565528" y="2113788"/>
                                </a:moveTo>
                                <a:lnTo>
                                  <a:pt x="1565528" y="1585341"/>
                                </a:lnTo>
                              </a:path>
                              <a:path w="3131820" h="3171190">
                                <a:moveTo>
                                  <a:pt x="1546669" y="1585341"/>
                                </a:moveTo>
                                <a:lnTo>
                                  <a:pt x="1585531" y="1585341"/>
                                </a:lnTo>
                              </a:path>
                              <a:path w="3131820" h="3171190">
                                <a:moveTo>
                                  <a:pt x="3111246" y="528447"/>
                                </a:moveTo>
                                <a:lnTo>
                                  <a:pt x="3111246" y="0"/>
                                </a:lnTo>
                              </a:path>
                              <a:path w="3131820" h="3171190">
                                <a:moveTo>
                                  <a:pt x="3092196" y="0"/>
                                </a:moveTo>
                                <a:lnTo>
                                  <a:pt x="3131248" y="0"/>
                                </a:lnTo>
                              </a:path>
                            </a:pathLst>
                          </a:custGeom>
                          <a:ln w="8328">
                            <a:solidFill>
                              <a:srgbClr val="000000"/>
                            </a:solidFill>
                            <a:prstDash val="solid"/>
                          </a:ln>
                        </wps:spPr>
                        <wps:bodyPr wrap="square" lIns="0" tIns="0" rIns="0" bIns="0" rtlCol="0">
                          <a:prstTxWarp prst="textNoShape">
                            <a:avLst/>
                          </a:prstTxWarp>
                          <a:noAutofit/>
                        </wps:bodyPr>
                      </wps:wsp>
                      <wps:wsp>
                        <wps:cNvPr id="160" name="Graphic 160"/>
                        <wps:cNvSpPr/>
                        <wps:spPr>
                          <a:xfrm>
                            <a:off x="1017269" y="3437001"/>
                            <a:ext cx="1270" cy="528955"/>
                          </a:xfrm>
                          <a:custGeom>
                            <a:avLst/>
                            <a:gdLst/>
                            <a:ahLst/>
                            <a:cxnLst/>
                            <a:rect l="l" t="t" r="r" b="b"/>
                            <a:pathLst>
                              <a:path w="0" h="528955">
                                <a:moveTo>
                                  <a:pt x="0" y="0"/>
                                </a:moveTo>
                                <a:lnTo>
                                  <a:pt x="0" y="528447"/>
                                </a:lnTo>
                              </a:path>
                            </a:pathLst>
                          </a:custGeom>
                          <a:ln w="8328">
                            <a:solidFill>
                              <a:srgbClr val="000000"/>
                            </a:solidFill>
                            <a:prstDash val="solid"/>
                          </a:ln>
                        </wps:spPr>
                        <wps:bodyPr wrap="square" lIns="0" tIns="0" rIns="0" bIns="0" rtlCol="0">
                          <a:prstTxWarp prst="textNoShape">
                            <a:avLst/>
                          </a:prstTxWarp>
                          <a:noAutofit/>
                        </wps:bodyPr>
                      </wps:wsp>
                      <wps:wsp>
                        <wps:cNvPr id="161" name="Graphic 161"/>
                        <wps:cNvSpPr/>
                        <wps:spPr>
                          <a:xfrm>
                            <a:off x="998219" y="3965447"/>
                            <a:ext cx="39370" cy="1270"/>
                          </a:xfrm>
                          <a:custGeom>
                            <a:avLst/>
                            <a:gdLst/>
                            <a:ahLst/>
                            <a:cxnLst/>
                            <a:rect l="l" t="t" r="r" b="b"/>
                            <a:pathLst>
                              <a:path w="39370" h="0">
                                <a:moveTo>
                                  <a:pt x="0" y="0"/>
                                </a:moveTo>
                                <a:lnTo>
                                  <a:pt x="38862" y="0"/>
                                </a:lnTo>
                              </a:path>
                            </a:pathLst>
                          </a:custGeom>
                          <a:ln w="8328">
                            <a:solidFill>
                              <a:srgbClr val="000000"/>
                            </a:solidFill>
                            <a:prstDash val="solid"/>
                          </a:ln>
                        </wps:spPr>
                        <wps:bodyPr wrap="square" lIns="0" tIns="0" rIns="0" bIns="0" rtlCol="0">
                          <a:prstTxWarp prst="textNoShape">
                            <a:avLst/>
                          </a:prstTxWarp>
                          <a:noAutofit/>
                        </wps:bodyPr>
                      </wps:wsp>
                      <wps:wsp>
                        <wps:cNvPr id="162" name="Graphic 162"/>
                        <wps:cNvSpPr/>
                        <wps:spPr>
                          <a:xfrm>
                            <a:off x="2544889" y="794766"/>
                            <a:ext cx="1584960" cy="2113915"/>
                          </a:xfrm>
                          <a:custGeom>
                            <a:avLst/>
                            <a:gdLst/>
                            <a:ahLst/>
                            <a:cxnLst/>
                            <a:rect l="l" t="t" r="r" b="b"/>
                            <a:pathLst>
                              <a:path w="1584960" h="2113915">
                                <a:moveTo>
                                  <a:pt x="18859" y="1585341"/>
                                </a:moveTo>
                                <a:lnTo>
                                  <a:pt x="18859" y="2113788"/>
                                </a:lnTo>
                              </a:path>
                              <a:path w="1584960" h="2113915">
                                <a:moveTo>
                                  <a:pt x="0" y="2113788"/>
                                </a:moveTo>
                                <a:lnTo>
                                  <a:pt x="38862" y="2113788"/>
                                </a:lnTo>
                              </a:path>
                              <a:path w="1584960" h="2113915">
                                <a:moveTo>
                                  <a:pt x="1564576" y="0"/>
                                </a:moveTo>
                                <a:lnTo>
                                  <a:pt x="1564576" y="528447"/>
                                </a:lnTo>
                              </a:path>
                              <a:path w="1584960" h="2113915">
                                <a:moveTo>
                                  <a:pt x="1545526" y="528447"/>
                                </a:moveTo>
                                <a:lnTo>
                                  <a:pt x="1584578" y="528447"/>
                                </a:lnTo>
                              </a:path>
                            </a:pathLst>
                          </a:custGeom>
                          <a:ln w="8328">
                            <a:solidFill>
                              <a:srgbClr val="000000"/>
                            </a:solidFill>
                            <a:prstDash val="solid"/>
                          </a:ln>
                        </wps:spPr>
                        <wps:bodyPr wrap="square" lIns="0" tIns="0" rIns="0" bIns="0" rtlCol="0">
                          <a:prstTxWarp prst="textNoShape">
                            <a:avLst/>
                          </a:prstTxWarp>
                          <a:noAutofit/>
                        </wps:bodyPr>
                      </wps:wsp>
                      <wps:wsp>
                        <wps:cNvPr id="163" name="Graphic 163"/>
                        <wps:cNvSpPr/>
                        <wps:spPr>
                          <a:xfrm>
                            <a:off x="0" y="1523"/>
                            <a:ext cx="4661535" cy="4008120"/>
                          </a:xfrm>
                          <a:custGeom>
                            <a:avLst/>
                            <a:gdLst/>
                            <a:ahLst/>
                            <a:cxnLst/>
                            <a:rect l="l" t="t" r="r" b="b"/>
                            <a:pathLst>
                              <a:path w="4661535" h="4008120">
                                <a:moveTo>
                                  <a:pt x="23621" y="0"/>
                                </a:moveTo>
                                <a:lnTo>
                                  <a:pt x="23621" y="3963923"/>
                                </a:lnTo>
                              </a:path>
                              <a:path w="4661535" h="4008120">
                                <a:moveTo>
                                  <a:pt x="0" y="3963923"/>
                                </a:moveTo>
                                <a:lnTo>
                                  <a:pt x="23621" y="3963923"/>
                                </a:lnTo>
                              </a:path>
                              <a:path w="4661535" h="4008120">
                                <a:moveTo>
                                  <a:pt x="0" y="3303079"/>
                                </a:moveTo>
                                <a:lnTo>
                                  <a:pt x="23621" y="3303079"/>
                                </a:lnTo>
                              </a:path>
                              <a:path w="4661535" h="4008120">
                                <a:moveTo>
                                  <a:pt x="0" y="2642234"/>
                                </a:moveTo>
                                <a:lnTo>
                                  <a:pt x="23621" y="2642234"/>
                                </a:lnTo>
                              </a:path>
                              <a:path w="4661535" h="4008120">
                                <a:moveTo>
                                  <a:pt x="0" y="1982533"/>
                                </a:moveTo>
                                <a:lnTo>
                                  <a:pt x="23621" y="1982533"/>
                                </a:lnTo>
                              </a:path>
                              <a:path w="4661535" h="4008120">
                                <a:moveTo>
                                  <a:pt x="0" y="1321688"/>
                                </a:moveTo>
                                <a:lnTo>
                                  <a:pt x="23621" y="1321688"/>
                                </a:lnTo>
                              </a:path>
                              <a:path w="4661535" h="4008120">
                                <a:moveTo>
                                  <a:pt x="0" y="660844"/>
                                </a:moveTo>
                                <a:lnTo>
                                  <a:pt x="23621" y="660844"/>
                                </a:lnTo>
                              </a:path>
                              <a:path w="4661535" h="4008120">
                                <a:moveTo>
                                  <a:pt x="0" y="0"/>
                                </a:moveTo>
                                <a:lnTo>
                                  <a:pt x="23621" y="0"/>
                                </a:lnTo>
                              </a:path>
                              <a:path w="4661535" h="4008120">
                                <a:moveTo>
                                  <a:pt x="23621" y="3963923"/>
                                </a:moveTo>
                                <a:lnTo>
                                  <a:pt x="4661534" y="3963923"/>
                                </a:lnTo>
                              </a:path>
                              <a:path w="4661535" h="4008120">
                                <a:moveTo>
                                  <a:pt x="23621" y="4007929"/>
                                </a:moveTo>
                                <a:lnTo>
                                  <a:pt x="23621" y="3963923"/>
                                </a:lnTo>
                              </a:path>
                              <a:path w="4661535" h="4008120">
                                <a:moveTo>
                                  <a:pt x="1569339" y="4007929"/>
                                </a:moveTo>
                                <a:lnTo>
                                  <a:pt x="1569339" y="3963923"/>
                                </a:lnTo>
                              </a:path>
                              <a:path w="4661535" h="4008120">
                                <a:moveTo>
                                  <a:pt x="3115818" y="4007929"/>
                                </a:moveTo>
                                <a:lnTo>
                                  <a:pt x="3115818" y="3963923"/>
                                </a:lnTo>
                              </a:path>
                              <a:path w="4661535" h="4008120">
                                <a:moveTo>
                                  <a:pt x="4661534" y="4007929"/>
                                </a:moveTo>
                                <a:lnTo>
                                  <a:pt x="4661534" y="3963923"/>
                                </a:lnTo>
                              </a:path>
                            </a:pathLst>
                          </a:custGeom>
                          <a:ln w="304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5.714996pt;margin-top:8.2pt;width:367.2pt;height:315.75pt;mso-position-horizontal-relative:page;mso-position-vertical-relative:paragraph;z-index:15740928" id="docshapegroup132" coordorigin="3114,164" coordsize="7344,6315">
                <v:rect style="position:absolute;left:3672;top:5576;width:696;height:833" id="docshape133" filled="true" fillcolor="#9999ff" stroked="false">
                  <v:fill type="solid"/>
                </v:rect>
                <v:rect style="position:absolute;left:3672;top:5576;width:696;height:833" id="docshape134" filled="false" stroked="true" strokeweight=".65581pt" strokecolor="#000000">
                  <v:stroke dashstyle="solid"/>
                </v:rect>
                <v:rect style="position:absolute;left:6107;top:5576;width:697;height:833" id="docshape135" filled="true" fillcolor="#9999ff" stroked="false">
                  <v:fill type="solid"/>
                </v:rect>
                <v:rect style="position:absolute;left:6107;top:5576;width:697;height:833" id="docshape136" filled="false" stroked="true" strokeweight=".65581pt" strokecolor="#000000">
                  <v:stroke dashstyle="solid"/>
                </v:rect>
                <v:rect style="position:absolute;left:8542;top:3495;width:696;height:2914" id="docshape137" filled="true" fillcolor="#9999ff" stroked="false">
                  <v:fill type="solid"/>
                </v:rect>
                <v:rect style="position:absolute;left:8542;top:3495;width:696;height:2914" id="docshape138" filled="false" stroked="true" strokeweight=".65581pt" strokecolor="#000000">
                  <v:stroke dashstyle="solid"/>
                </v:rect>
                <v:rect style="position:absolute;left:4368;top:5576;width:696;height:833" id="docshape139" filled="true" fillcolor="#993366" stroked="false">
                  <v:fill type="solid"/>
                </v:rect>
                <v:rect style="position:absolute;left:4368;top:5576;width:696;height:833" id="docshape140" filled="false" stroked="true" strokeweight=".65581pt" strokecolor="#000000">
                  <v:stroke dashstyle="solid"/>
                </v:rect>
                <v:rect style="position:absolute;left:6804;top:3912;width:696;height:2497" id="docshape141" filled="true" fillcolor="#993366" stroked="false">
                  <v:fill type="solid"/>
                </v:rect>
                <v:rect style="position:absolute;left:6804;top:3912;width:696;height:2497" id="docshape142" filled="false" stroked="true" strokeweight=".65581pt" strokecolor="#000000">
                  <v:stroke dashstyle="solid"/>
                </v:rect>
                <v:rect style="position:absolute;left:9238;top:1415;width:696;height:4994" id="docshape143" filled="true" fillcolor="#993366" stroked="false">
                  <v:fill type="solid"/>
                </v:rect>
                <v:rect style="position:absolute;left:9238;top:1415;width:696;height:4994" id="docshape144" filled="false" stroked="true" strokeweight=".65581pt" strokecolor="#000000">
                  <v:stroke dashstyle="solid"/>
                </v:rect>
                <v:shape style="position:absolute;left:3990;top:1622;width:4931;height:3955" id="docshape145" coordorigin="3991,1622" coordsize="4931,3955" path="m4021,5577l4021,4744m3991,4744l4052,4744m6455,5577l6455,4744m6425,4744l6486,4744m8890,3495l8890,1622m8860,1622l8922,1622e" filled="false" stroked="true" strokeweight=".65581pt" strokecolor="#000000">
                  <v:path arrowok="t"/>
                  <v:stroke dashstyle="solid"/>
                </v:shape>
                <v:line style="position:absolute" from="4021,5577" to="4021,6409" stroked="true" strokeweight=".65581pt" strokecolor="#000000">
                  <v:stroke dashstyle="solid"/>
                </v:line>
                <v:line style="position:absolute" from="3991,6409" to="4052,6409" stroked="true" strokeweight=".65581pt" strokecolor="#000000">
                  <v:stroke dashstyle="solid"/>
                </v:line>
                <v:line style="position:absolute" from="6455,5577" to="6455,6409" stroked="true" strokeweight=".65581pt" strokecolor="#000000">
                  <v:stroke dashstyle="solid"/>
                </v:line>
                <v:line style="position:absolute" from="6425,6409" to="6486,6409" stroked="true" strokeweight=".65581pt" strokecolor="#000000">
                  <v:stroke dashstyle="solid"/>
                </v:line>
                <v:shape style="position:absolute;left:4686;top:583;width:4932;height:4994" id="docshape146" coordorigin="4686,583" coordsize="4932,4994" path="m8890,3495l8890,5368m8860,5368l8922,5368m4716,5577l4716,4744m4686,4744l4747,4744m7152,3912l7152,3080m7122,3080l7183,3080m9586,1416l9586,583m9556,583l9617,583e" filled="false" stroked="true" strokeweight=".65581pt" strokecolor="#000000">
                  <v:path arrowok="t"/>
                  <v:stroke dashstyle="solid"/>
                </v:shape>
                <v:line style="position:absolute" from="4716,5577" to="4716,6409" stroked="true" strokeweight=".65581pt" strokecolor="#000000">
                  <v:stroke dashstyle="solid"/>
                </v:line>
                <v:line style="position:absolute" from="4686,6409" to="4747,6409" stroked="true" strokeweight=".65581pt" strokecolor="#000000">
                  <v:stroke dashstyle="solid"/>
                </v:line>
                <v:shape style="position:absolute;left:7122;top:1415;width:2496;height:3329" id="docshape147" coordorigin="7122,1416" coordsize="2496,3329" path="m7152,3912l7152,4744m7122,4744l7183,4744m9586,1416l9586,2248m9556,2248l9617,2248e" filled="false" stroked="true" strokeweight=".65581pt" strokecolor="#000000">
                  <v:path arrowok="t"/>
                  <v:stroke dashstyle="solid"/>
                </v:shape>
                <v:shape style="position:absolute;left:3114;top:166;width:7341;height:6312" id="docshape148" coordorigin="3114,166" coordsize="7341,6312" path="m3151,166l3151,6409m3114,6409l3151,6409m3114,5368l3151,5368m3114,4327l3151,4327m3114,3288l3151,3288m3114,2248l3151,2248m3114,1207l3151,1207m3114,166l3151,166m3151,6409l10455,6409m3151,6478l3151,6409m5586,6478l5586,6409m8021,6478l8021,6409m10455,6478l10455,6409e" filled="false" stroked="true" strokeweight=".24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1440">
                <wp:simplePos x="0" y="0"/>
                <wp:positionH relativeFrom="page">
                  <wp:posOffset>4391405</wp:posOffset>
                </wp:positionH>
                <wp:positionV relativeFrom="paragraph">
                  <wp:posOffset>36893</wp:posOffset>
                </wp:positionV>
                <wp:extent cx="754380" cy="388620"/>
                <wp:effectExtent l="0" t="0" r="0" b="0"/>
                <wp:wrapNone/>
                <wp:docPr id="164" name="Group 164"/>
                <wp:cNvGraphicFramePr>
                  <a:graphicFrameLocks/>
                </wp:cNvGraphicFramePr>
                <a:graphic>
                  <a:graphicData uri="http://schemas.microsoft.com/office/word/2010/wordprocessingGroup">
                    <wpg:wgp>
                      <wpg:cNvPr id="164" name="Group 164"/>
                      <wpg:cNvGrpSpPr/>
                      <wpg:grpSpPr>
                        <a:xfrm>
                          <a:off x="0" y="0"/>
                          <a:ext cx="754380" cy="388620"/>
                          <a:chExt cx="754380" cy="388620"/>
                        </a:xfrm>
                      </wpg:grpSpPr>
                      <wps:wsp>
                        <wps:cNvPr id="165" name="Graphic 165"/>
                        <wps:cNvSpPr/>
                        <wps:spPr>
                          <a:xfrm>
                            <a:off x="35051" y="61912"/>
                            <a:ext cx="66675" cy="85090"/>
                          </a:xfrm>
                          <a:custGeom>
                            <a:avLst/>
                            <a:gdLst/>
                            <a:ahLst/>
                            <a:cxnLst/>
                            <a:rect l="l" t="t" r="r" b="b"/>
                            <a:pathLst>
                              <a:path w="66675" h="85090">
                                <a:moveTo>
                                  <a:pt x="66103" y="0"/>
                                </a:moveTo>
                                <a:lnTo>
                                  <a:pt x="0" y="0"/>
                                </a:lnTo>
                                <a:lnTo>
                                  <a:pt x="0" y="84772"/>
                                </a:lnTo>
                                <a:lnTo>
                                  <a:pt x="66103" y="84772"/>
                                </a:lnTo>
                                <a:lnTo>
                                  <a:pt x="66103" y="0"/>
                                </a:lnTo>
                                <a:close/>
                              </a:path>
                            </a:pathLst>
                          </a:custGeom>
                          <a:solidFill>
                            <a:srgbClr val="9999FF"/>
                          </a:solidFill>
                        </wps:spPr>
                        <wps:bodyPr wrap="square" lIns="0" tIns="0" rIns="0" bIns="0" rtlCol="0">
                          <a:prstTxWarp prst="textNoShape">
                            <a:avLst/>
                          </a:prstTxWarp>
                          <a:noAutofit/>
                        </wps:bodyPr>
                      </wps:wsp>
                      <wps:wsp>
                        <wps:cNvPr id="166" name="Graphic 166"/>
                        <wps:cNvSpPr/>
                        <wps:spPr>
                          <a:xfrm>
                            <a:off x="35051" y="61912"/>
                            <a:ext cx="66675" cy="85090"/>
                          </a:xfrm>
                          <a:custGeom>
                            <a:avLst/>
                            <a:gdLst/>
                            <a:ahLst/>
                            <a:cxnLst/>
                            <a:rect l="l" t="t" r="r" b="b"/>
                            <a:pathLst>
                              <a:path w="66675" h="85090">
                                <a:moveTo>
                                  <a:pt x="0" y="0"/>
                                </a:moveTo>
                                <a:lnTo>
                                  <a:pt x="66103" y="0"/>
                                </a:lnTo>
                                <a:lnTo>
                                  <a:pt x="66103" y="84772"/>
                                </a:lnTo>
                                <a:lnTo>
                                  <a:pt x="0" y="84772"/>
                                </a:lnTo>
                                <a:lnTo>
                                  <a:pt x="0" y="0"/>
                                </a:lnTo>
                                <a:close/>
                              </a:path>
                            </a:pathLst>
                          </a:custGeom>
                          <a:ln w="8328">
                            <a:solidFill>
                              <a:srgbClr val="000000"/>
                            </a:solidFill>
                            <a:prstDash val="solid"/>
                          </a:ln>
                        </wps:spPr>
                        <wps:bodyPr wrap="square" lIns="0" tIns="0" rIns="0" bIns="0" rtlCol="0">
                          <a:prstTxWarp prst="textNoShape">
                            <a:avLst/>
                          </a:prstTxWarp>
                          <a:noAutofit/>
                        </wps:bodyPr>
                      </wps:wsp>
                      <wps:wsp>
                        <wps:cNvPr id="167" name="Graphic 167"/>
                        <wps:cNvSpPr/>
                        <wps:spPr>
                          <a:xfrm>
                            <a:off x="35051" y="254698"/>
                            <a:ext cx="66675" cy="85090"/>
                          </a:xfrm>
                          <a:custGeom>
                            <a:avLst/>
                            <a:gdLst/>
                            <a:ahLst/>
                            <a:cxnLst/>
                            <a:rect l="l" t="t" r="r" b="b"/>
                            <a:pathLst>
                              <a:path w="66675" h="85090">
                                <a:moveTo>
                                  <a:pt x="66103" y="0"/>
                                </a:moveTo>
                                <a:lnTo>
                                  <a:pt x="0" y="0"/>
                                </a:lnTo>
                                <a:lnTo>
                                  <a:pt x="0" y="84772"/>
                                </a:lnTo>
                                <a:lnTo>
                                  <a:pt x="66103" y="84772"/>
                                </a:lnTo>
                                <a:lnTo>
                                  <a:pt x="66103" y="0"/>
                                </a:lnTo>
                                <a:close/>
                              </a:path>
                            </a:pathLst>
                          </a:custGeom>
                          <a:solidFill>
                            <a:srgbClr val="993366"/>
                          </a:solidFill>
                        </wps:spPr>
                        <wps:bodyPr wrap="square" lIns="0" tIns="0" rIns="0" bIns="0" rtlCol="0">
                          <a:prstTxWarp prst="textNoShape">
                            <a:avLst/>
                          </a:prstTxWarp>
                          <a:noAutofit/>
                        </wps:bodyPr>
                      </wps:wsp>
                      <wps:wsp>
                        <wps:cNvPr id="168" name="Graphic 168"/>
                        <wps:cNvSpPr/>
                        <wps:spPr>
                          <a:xfrm>
                            <a:off x="35051" y="254698"/>
                            <a:ext cx="66675" cy="85090"/>
                          </a:xfrm>
                          <a:custGeom>
                            <a:avLst/>
                            <a:gdLst/>
                            <a:ahLst/>
                            <a:cxnLst/>
                            <a:rect l="l" t="t" r="r" b="b"/>
                            <a:pathLst>
                              <a:path w="66675" h="85090">
                                <a:moveTo>
                                  <a:pt x="0" y="0"/>
                                </a:moveTo>
                                <a:lnTo>
                                  <a:pt x="66103" y="0"/>
                                </a:lnTo>
                                <a:lnTo>
                                  <a:pt x="66103" y="84772"/>
                                </a:lnTo>
                                <a:lnTo>
                                  <a:pt x="0" y="84772"/>
                                </a:lnTo>
                                <a:lnTo>
                                  <a:pt x="0" y="0"/>
                                </a:lnTo>
                                <a:close/>
                              </a:path>
                            </a:pathLst>
                          </a:custGeom>
                          <a:ln w="8328">
                            <a:solidFill>
                              <a:srgbClr val="000000"/>
                            </a:solidFill>
                            <a:prstDash val="solid"/>
                          </a:ln>
                        </wps:spPr>
                        <wps:bodyPr wrap="square" lIns="0" tIns="0" rIns="0" bIns="0" rtlCol="0">
                          <a:prstTxWarp prst="textNoShape">
                            <a:avLst/>
                          </a:prstTxWarp>
                          <a:noAutofit/>
                        </wps:bodyPr>
                      </wps:wsp>
                      <wps:wsp>
                        <wps:cNvPr id="169" name="Textbox 169"/>
                        <wps:cNvSpPr txBox="1"/>
                        <wps:spPr>
                          <a:xfrm>
                            <a:off x="1523" y="1523"/>
                            <a:ext cx="751205" cy="386080"/>
                          </a:xfrm>
                          <a:prstGeom prst="rect">
                            <a:avLst/>
                          </a:prstGeom>
                          <a:ln w="3048">
                            <a:solidFill>
                              <a:srgbClr val="000000"/>
                            </a:solidFill>
                            <a:prstDash val="solid"/>
                          </a:ln>
                        </wps:spPr>
                        <wps:txbx>
                          <w:txbxContent>
                            <w:p>
                              <w:pPr>
                                <w:spacing w:before="42"/>
                                <w:ind w:left="198" w:right="0" w:firstLine="0"/>
                                <w:jc w:val="left"/>
                                <w:rPr>
                                  <w:b/>
                                  <w:sz w:val="21"/>
                                </w:rPr>
                              </w:pPr>
                              <w:r>
                                <w:rPr>
                                  <w:b/>
                                  <w:spacing w:val="-2"/>
                                  <w:w w:val="90"/>
                                  <w:sz w:val="21"/>
                                </w:rPr>
                                <w:t>control</w:t>
                              </w:r>
                            </w:p>
                            <w:p>
                              <w:pPr>
                                <w:spacing w:before="65"/>
                                <w:ind w:left="198" w:right="0" w:firstLine="0"/>
                                <w:jc w:val="left"/>
                                <w:rPr>
                                  <w:b/>
                                  <w:sz w:val="21"/>
                                </w:rPr>
                              </w:pPr>
                              <w:r>
                                <w:rPr>
                                  <w:b/>
                                  <w:spacing w:val="-2"/>
                                  <w:w w:val="80"/>
                                  <w:sz w:val="21"/>
                                </w:rPr>
                                <w:t>experimental</w:t>
                              </w:r>
                            </w:p>
                          </w:txbxContent>
                        </wps:txbx>
                        <wps:bodyPr wrap="square" lIns="0" tIns="0" rIns="0" bIns="0" rtlCol="0">
                          <a:noAutofit/>
                        </wps:bodyPr>
                      </wps:wsp>
                    </wpg:wgp>
                  </a:graphicData>
                </a:graphic>
              </wp:anchor>
            </w:drawing>
          </mc:Choice>
          <mc:Fallback>
            <w:pict>
              <v:group style="position:absolute;margin-left:345.779999pt;margin-top:2.905pt;width:59.4pt;height:30.6pt;mso-position-horizontal-relative:page;mso-position-vertical-relative:paragraph;z-index:15741440" id="docshapegroup149" coordorigin="6916,58" coordsize="1188,612">
                <v:rect style="position:absolute;left:6970;top:155;width:105;height:134" id="docshape150" filled="true" fillcolor="#9999ff" stroked="false">
                  <v:fill type="solid"/>
                </v:rect>
                <v:rect style="position:absolute;left:6970;top:155;width:105;height:134" id="docshape151" filled="false" stroked="true" strokeweight=".65581pt" strokecolor="#000000">
                  <v:stroke dashstyle="solid"/>
                </v:rect>
                <v:rect style="position:absolute;left:6970;top:459;width:105;height:134" id="docshape152" filled="true" fillcolor="#993366" stroked="false">
                  <v:fill type="solid"/>
                </v:rect>
                <v:rect style="position:absolute;left:6970;top:459;width:105;height:134" id="docshape153" filled="false" stroked="true" strokeweight=".65581pt" strokecolor="#000000">
                  <v:stroke dashstyle="solid"/>
                </v:rect>
                <v:shape style="position:absolute;left:6918;top:60;width:1183;height:608" type="#_x0000_t202" id="docshape154" filled="false" stroked="true" strokeweight=".24pt" strokecolor="#000000">
                  <v:textbox inset="0,0,0,0">
                    <w:txbxContent>
                      <w:p>
                        <w:pPr>
                          <w:spacing w:before="42"/>
                          <w:ind w:left="198" w:right="0" w:firstLine="0"/>
                          <w:jc w:val="left"/>
                          <w:rPr>
                            <w:b/>
                            <w:sz w:val="21"/>
                          </w:rPr>
                        </w:pPr>
                        <w:r>
                          <w:rPr>
                            <w:b/>
                            <w:spacing w:val="-2"/>
                            <w:w w:val="90"/>
                            <w:sz w:val="21"/>
                          </w:rPr>
                          <w:t>control</w:t>
                        </w:r>
                      </w:p>
                      <w:p>
                        <w:pPr>
                          <w:spacing w:before="65"/>
                          <w:ind w:left="198" w:right="0" w:firstLine="0"/>
                          <w:jc w:val="left"/>
                          <w:rPr>
                            <w:b/>
                            <w:sz w:val="21"/>
                          </w:rPr>
                        </w:pPr>
                        <w:r>
                          <w:rPr>
                            <w:b/>
                            <w:spacing w:val="-2"/>
                            <w:w w:val="80"/>
                            <w:sz w:val="21"/>
                          </w:rPr>
                          <w:t>experimental</w:t>
                        </w:r>
                      </w:p>
                    </w:txbxContent>
                  </v:textbox>
                  <v:stroke dashstyle="solid"/>
                  <w10:wrap type="none"/>
                </v:shape>
                <w10:wrap type="none"/>
              </v:group>
            </w:pict>
          </mc:Fallback>
        </mc:AlternateContent>
      </w:r>
      <w:r>
        <w:rPr>
          <w:rFonts w:ascii="Arial MT"/>
          <w:spacing w:val="-10"/>
          <w:w w:val="90"/>
          <w:sz w:val="15"/>
        </w:rPr>
        <w:t>3</w:t>
      </w:r>
    </w:p>
    <w:p>
      <w:pPr>
        <w:pStyle w:val="BodyText"/>
        <w:rPr>
          <w:rFonts w:ascii="Arial MT"/>
          <w:sz w:val="15"/>
        </w:rPr>
      </w:pPr>
    </w:p>
    <w:p>
      <w:pPr>
        <w:pStyle w:val="BodyText"/>
        <w:rPr>
          <w:rFonts w:ascii="Arial MT"/>
          <w:sz w:val="15"/>
        </w:rPr>
      </w:pPr>
    </w:p>
    <w:p>
      <w:pPr>
        <w:pStyle w:val="BodyText"/>
        <w:rPr>
          <w:rFonts w:ascii="Arial MT"/>
          <w:sz w:val="15"/>
        </w:rPr>
      </w:pPr>
    </w:p>
    <w:p>
      <w:pPr>
        <w:pStyle w:val="BodyText"/>
        <w:rPr>
          <w:rFonts w:ascii="Arial MT"/>
          <w:sz w:val="15"/>
        </w:rPr>
      </w:pPr>
    </w:p>
    <w:p>
      <w:pPr>
        <w:pStyle w:val="BodyText"/>
        <w:spacing w:before="7"/>
        <w:rPr>
          <w:rFonts w:ascii="Arial MT"/>
          <w:sz w:val="15"/>
        </w:rPr>
      </w:pPr>
    </w:p>
    <w:p>
      <w:pPr>
        <w:spacing w:before="0"/>
        <w:ind w:left="1174" w:right="0" w:firstLine="0"/>
        <w:jc w:val="left"/>
        <w:rPr>
          <w:rFonts w:ascii="Arial MT"/>
          <w:sz w:val="15"/>
        </w:rPr>
      </w:pPr>
      <w:r>
        <w:rPr>
          <w:rFonts w:ascii="Arial MT"/>
          <w:spacing w:val="-5"/>
          <w:w w:val="90"/>
          <w:sz w:val="15"/>
        </w:rPr>
        <w:t>2.5</w:t>
      </w:r>
    </w:p>
    <w:p>
      <w:pPr>
        <w:pStyle w:val="BodyText"/>
        <w:rPr>
          <w:rFonts w:ascii="Arial MT"/>
          <w:sz w:val="15"/>
        </w:rPr>
      </w:pPr>
    </w:p>
    <w:p>
      <w:pPr>
        <w:pStyle w:val="BodyText"/>
        <w:rPr>
          <w:rFonts w:ascii="Arial MT"/>
          <w:sz w:val="15"/>
        </w:rPr>
      </w:pPr>
    </w:p>
    <w:p>
      <w:pPr>
        <w:pStyle w:val="BodyText"/>
        <w:rPr>
          <w:rFonts w:ascii="Arial MT"/>
          <w:sz w:val="15"/>
        </w:rPr>
      </w:pPr>
    </w:p>
    <w:p>
      <w:pPr>
        <w:pStyle w:val="BodyText"/>
        <w:rPr>
          <w:rFonts w:ascii="Arial MT"/>
          <w:sz w:val="15"/>
        </w:rPr>
      </w:pPr>
    </w:p>
    <w:p>
      <w:pPr>
        <w:pStyle w:val="BodyText"/>
        <w:spacing w:before="7"/>
        <w:rPr>
          <w:rFonts w:ascii="Arial MT"/>
          <w:sz w:val="15"/>
        </w:rPr>
      </w:pPr>
    </w:p>
    <w:p>
      <w:pPr>
        <w:spacing w:before="0"/>
        <w:ind w:left="1275" w:right="0" w:firstLine="0"/>
        <w:jc w:val="left"/>
        <w:rPr>
          <w:rFonts w:ascii="Arial MT"/>
          <w:sz w:val="15"/>
        </w:rPr>
      </w:pPr>
      <w:r>
        <w:rPr/>
        <mc:AlternateContent>
          <mc:Choice Requires="wps">
            <w:drawing>
              <wp:anchor distT="0" distB="0" distL="0" distR="0" allowOverlap="1" layoutInCell="1" locked="0" behindDoc="0" simplePos="0" relativeHeight="15741952">
                <wp:simplePos x="0" y="0"/>
                <wp:positionH relativeFrom="page">
                  <wp:posOffset>1639808</wp:posOffset>
                </wp:positionH>
                <wp:positionV relativeFrom="paragraph">
                  <wp:posOffset>-197647</wp:posOffset>
                </wp:positionV>
                <wp:extent cx="199390" cy="1845310"/>
                <wp:effectExtent l="0" t="0" r="0" b="0"/>
                <wp:wrapNone/>
                <wp:docPr id="170" name="Textbox 170"/>
                <wp:cNvGraphicFramePr>
                  <a:graphicFrameLocks/>
                </wp:cNvGraphicFramePr>
                <a:graphic>
                  <a:graphicData uri="http://schemas.microsoft.com/office/word/2010/wordprocessingShape">
                    <wps:wsp>
                      <wps:cNvPr id="170" name="Textbox 170"/>
                      <wps:cNvSpPr txBox="1"/>
                      <wps:spPr>
                        <a:xfrm>
                          <a:off x="0" y="0"/>
                          <a:ext cx="199390" cy="1845310"/>
                        </a:xfrm>
                        <a:prstGeom prst="rect">
                          <a:avLst/>
                        </a:prstGeom>
                      </wps:spPr>
                      <wps:txbx>
                        <w:txbxContent>
                          <w:p>
                            <w:pPr>
                              <w:spacing w:before="16"/>
                              <w:ind w:left="20" w:right="0" w:firstLine="0"/>
                              <w:jc w:val="left"/>
                              <w:rPr>
                                <w:b/>
                                <w:sz w:val="24"/>
                              </w:rPr>
                            </w:pPr>
                            <w:r>
                              <w:rPr>
                                <w:b/>
                                <w:w w:val="80"/>
                                <w:sz w:val="24"/>
                              </w:rPr>
                              <w:t>T</w:t>
                            </w:r>
                            <w:r>
                              <w:rPr>
                                <w:b/>
                                <w:spacing w:val="-14"/>
                                <w:w w:val="80"/>
                                <w:sz w:val="24"/>
                              </w:rPr>
                              <w:t> </w:t>
                            </w:r>
                            <w:r>
                              <w:rPr>
                                <w:b/>
                                <w:w w:val="80"/>
                                <w:sz w:val="24"/>
                              </w:rPr>
                              <w:t>r</w:t>
                            </w:r>
                            <w:r>
                              <w:rPr>
                                <w:b/>
                                <w:spacing w:val="-23"/>
                                <w:w w:val="80"/>
                                <w:sz w:val="24"/>
                              </w:rPr>
                              <w:t> </w:t>
                            </w:r>
                            <w:r>
                              <w:rPr>
                                <w:b/>
                                <w:w w:val="80"/>
                                <w:sz w:val="24"/>
                              </w:rPr>
                              <w:t>a</w:t>
                            </w:r>
                            <w:r>
                              <w:rPr>
                                <w:b/>
                                <w:spacing w:val="-20"/>
                                <w:w w:val="80"/>
                                <w:sz w:val="24"/>
                              </w:rPr>
                              <w:t> </w:t>
                            </w:r>
                            <w:r>
                              <w:rPr>
                                <w:b/>
                                <w:w w:val="80"/>
                                <w:sz w:val="24"/>
                              </w:rPr>
                              <w:t>n</w:t>
                            </w:r>
                            <w:r>
                              <w:rPr>
                                <w:b/>
                                <w:spacing w:val="-21"/>
                                <w:w w:val="80"/>
                                <w:sz w:val="24"/>
                              </w:rPr>
                              <w:t> </w:t>
                            </w:r>
                            <w:r>
                              <w:rPr>
                                <w:b/>
                                <w:spacing w:val="10"/>
                                <w:w w:val="80"/>
                                <w:sz w:val="24"/>
                              </w:rPr>
                              <w:t>sf</w:t>
                            </w:r>
                            <w:r>
                              <w:rPr>
                                <w:b/>
                                <w:spacing w:val="-26"/>
                                <w:w w:val="80"/>
                                <w:sz w:val="24"/>
                              </w:rPr>
                              <w:t> </w:t>
                            </w:r>
                            <w:r>
                              <w:rPr>
                                <w:b/>
                                <w:spacing w:val="10"/>
                                <w:w w:val="80"/>
                                <w:sz w:val="24"/>
                              </w:rPr>
                              <w:t>er</w:t>
                            </w:r>
                            <w:r>
                              <w:rPr>
                                <w:b/>
                                <w:spacing w:val="28"/>
                                <w:sz w:val="24"/>
                              </w:rPr>
                              <w:t> </w:t>
                            </w:r>
                            <w:r>
                              <w:rPr>
                                <w:b/>
                                <w:w w:val="80"/>
                                <w:sz w:val="24"/>
                              </w:rPr>
                              <w:t>L</w:t>
                            </w:r>
                            <w:r>
                              <w:rPr>
                                <w:b/>
                                <w:spacing w:val="-14"/>
                                <w:w w:val="80"/>
                                <w:sz w:val="24"/>
                              </w:rPr>
                              <w:t> </w:t>
                            </w:r>
                            <w:r>
                              <w:rPr>
                                <w:b/>
                                <w:w w:val="80"/>
                                <w:sz w:val="24"/>
                              </w:rPr>
                              <w:t>a</w:t>
                            </w:r>
                            <w:r>
                              <w:rPr>
                                <w:b/>
                                <w:spacing w:val="-20"/>
                                <w:w w:val="80"/>
                                <w:sz w:val="24"/>
                              </w:rPr>
                              <w:t> </w:t>
                            </w:r>
                            <w:r>
                              <w:rPr>
                                <w:b/>
                                <w:w w:val="80"/>
                                <w:sz w:val="24"/>
                              </w:rPr>
                              <w:t>t</w:t>
                            </w:r>
                            <w:r>
                              <w:rPr>
                                <w:b/>
                                <w:spacing w:val="-26"/>
                                <w:w w:val="80"/>
                                <w:sz w:val="24"/>
                              </w:rPr>
                              <w:t> </w:t>
                            </w:r>
                            <w:r>
                              <w:rPr>
                                <w:b/>
                                <w:spacing w:val="10"/>
                                <w:w w:val="80"/>
                                <w:sz w:val="24"/>
                              </w:rPr>
                              <w:t>en</w:t>
                            </w:r>
                            <w:r>
                              <w:rPr>
                                <w:b/>
                                <w:spacing w:val="-16"/>
                                <w:w w:val="80"/>
                                <w:sz w:val="24"/>
                              </w:rPr>
                              <w:t> </w:t>
                            </w:r>
                            <w:r>
                              <w:rPr>
                                <w:b/>
                                <w:w w:val="80"/>
                                <w:sz w:val="24"/>
                              </w:rPr>
                              <w:t>c</w:t>
                            </w:r>
                            <w:r>
                              <w:rPr>
                                <w:b/>
                                <w:spacing w:val="-23"/>
                                <w:w w:val="80"/>
                                <w:sz w:val="24"/>
                              </w:rPr>
                              <w:t> </w:t>
                            </w:r>
                            <w:r>
                              <w:rPr>
                                <w:b/>
                                <w:w w:val="80"/>
                                <w:sz w:val="24"/>
                              </w:rPr>
                              <w:t>y</w:t>
                            </w:r>
                            <w:r>
                              <w:rPr>
                                <w:b/>
                                <w:spacing w:val="31"/>
                                <w:sz w:val="24"/>
                              </w:rPr>
                              <w:t> </w:t>
                            </w:r>
                            <w:r>
                              <w:rPr>
                                <w:b/>
                                <w:spacing w:val="12"/>
                                <w:w w:val="80"/>
                                <w:sz w:val="24"/>
                              </w:rPr>
                              <w:t>(se</w:t>
                            </w:r>
                            <w:r>
                              <w:rPr>
                                <w:b/>
                                <w:spacing w:val="-23"/>
                                <w:w w:val="80"/>
                                <w:sz w:val="24"/>
                              </w:rPr>
                              <w:t> </w:t>
                            </w:r>
                            <w:r>
                              <w:rPr>
                                <w:b/>
                                <w:w w:val="80"/>
                                <w:sz w:val="24"/>
                              </w:rPr>
                              <w:t>c</w:t>
                            </w:r>
                            <w:r>
                              <w:rPr>
                                <w:b/>
                                <w:spacing w:val="-23"/>
                                <w:w w:val="80"/>
                                <w:sz w:val="24"/>
                              </w:rPr>
                              <w:t> </w:t>
                            </w:r>
                            <w:r>
                              <w:rPr>
                                <w:b/>
                                <w:w w:val="80"/>
                                <w:sz w:val="24"/>
                              </w:rPr>
                              <w:t>o</w:t>
                            </w:r>
                            <w:r>
                              <w:rPr>
                                <w:b/>
                                <w:spacing w:val="-20"/>
                                <w:w w:val="80"/>
                                <w:sz w:val="24"/>
                              </w:rPr>
                              <w:t> </w:t>
                            </w:r>
                            <w:r>
                              <w:rPr>
                                <w:b/>
                                <w:w w:val="80"/>
                                <w:sz w:val="24"/>
                              </w:rPr>
                              <w:t>n</w:t>
                            </w:r>
                            <w:r>
                              <w:rPr>
                                <w:b/>
                                <w:spacing w:val="-21"/>
                                <w:w w:val="80"/>
                                <w:sz w:val="24"/>
                              </w:rPr>
                              <w:t> </w:t>
                            </w:r>
                            <w:r>
                              <w:rPr>
                                <w:b/>
                                <w:w w:val="80"/>
                                <w:sz w:val="24"/>
                              </w:rPr>
                              <w:t>d</w:t>
                            </w:r>
                            <w:r>
                              <w:rPr>
                                <w:b/>
                                <w:spacing w:val="-15"/>
                                <w:w w:val="80"/>
                                <w:sz w:val="24"/>
                              </w:rPr>
                              <w:t> </w:t>
                            </w:r>
                            <w:r>
                              <w:rPr>
                                <w:b/>
                                <w:spacing w:val="5"/>
                                <w:w w:val="80"/>
                                <w:sz w:val="24"/>
                              </w:rPr>
                              <w:t>s)</w:t>
                            </w:r>
                          </w:p>
                        </w:txbxContent>
                      </wps:txbx>
                      <wps:bodyPr wrap="square" lIns="0" tIns="0" rIns="0" bIns="0" rtlCol="0" vert="vert270">
                        <a:noAutofit/>
                      </wps:bodyPr>
                    </wps:wsp>
                  </a:graphicData>
                </a:graphic>
              </wp:anchor>
            </w:drawing>
          </mc:Choice>
          <mc:Fallback>
            <w:pict>
              <v:shape style="position:absolute;margin-left:129.118774pt;margin-top:-15.562819pt;width:15.7pt;height:145.3pt;mso-position-horizontal-relative:page;mso-position-vertical-relative:paragraph;z-index:15741952" type="#_x0000_t202" id="docshape155" filled="false" stroked="false">
                <v:textbox inset="0,0,0,0" style="layout-flow:vertical;mso-layout-flow-alt:bottom-to-top">
                  <w:txbxContent>
                    <w:p>
                      <w:pPr>
                        <w:spacing w:before="16"/>
                        <w:ind w:left="20" w:right="0" w:firstLine="0"/>
                        <w:jc w:val="left"/>
                        <w:rPr>
                          <w:b/>
                          <w:sz w:val="24"/>
                        </w:rPr>
                      </w:pPr>
                      <w:r>
                        <w:rPr>
                          <w:b/>
                          <w:w w:val="80"/>
                          <w:sz w:val="24"/>
                        </w:rPr>
                        <w:t>T</w:t>
                      </w:r>
                      <w:r>
                        <w:rPr>
                          <w:b/>
                          <w:spacing w:val="-14"/>
                          <w:w w:val="80"/>
                          <w:sz w:val="24"/>
                        </w:rPr>
                        <w:t> </w:t>
                      </w:r>
                      <w:r>
                        <w:rPr>
                          <w:b/>
                          <w:w w:val="80"/>
                          <w:sz w:val="24"/>
                        </w:rPr>
                        <w:t>r</w:t>
                      </w:r>
                      <w:r>
                        <w:rPr>
                          <w:b/>
                          <w:spacing w:val="-23"/>
                          <w:w w:val="80"/>
                          <w:sz w:val="24"/>
                        </w:rPr>
                        <w:t> </w:t>
                      </w:r>
                      <w:r>
                        <w:rPr>
                          <w:b/>
                          <w:w w:val="80"/>
                          <w:sz w:val="24"/>
                        </w:rPr>
                        <w:t>a</w:t>
                      </w:r>
                      <w:r>
                        <w:rPr>
                          <w:b/>
                          <w:spacing w:val="-20"/>
                          <w:w w:val="80"/>
                          <w:sz w:val="24"/>
                        </w:rPr>
                        <w:t> </w:t>
                      </w:r>
                      <w:r>
                        <w:rPr>
                          <w:b/>
                          <w:w w:val="80"/>
                          <w:sz w:val="24"/>
                        </w:rPr>
                        <w:t>n</w:t>
                      </w:r>
                      <w:r>
                        <w:rPr>
                          <w:b/>
                          <w:spacing w:val="-21"/>
                          <w:w w:val="80"/>
                          <w:sz w:val="24"/>
                        </w:rPr>
                        <w:t> </w:t>
                      </w:r>
                      <w:r>
                        <w:rPr>
                          <w:b/>
                          <w:spacing w:val="10"/>
                          <w:w w:val="80"/>
                          <w:sz w:val="24"/>
                        </w:rPr>
                        <w:t>sf</w:t>
                      </w:r>
                      <w:r>
                        <w:rPr>
                          <w:b/>
                          <w:spacing w:val="-26"/>
                          <w:w w:val="80"/>
                          <w:sz w:val="24"/>
                        </w:rPr>
                        <w:t> </w:t>
                      </w:r>
                      <w:r>
                        <w:rPr>
                          <w:b/>
                          <w:spacing w:val="10"/>
                          <w:w w:val="80"/>
                          <w:sz w:val="24"/>
                        </w:rPr>
                        <w:t>er</w:t>
                      </w:r>
                      <w:r>
                        <w:rPr>
                          <w:b/>
                          <w:spacing w:val="28"/>
                          <w:sz w:val="24"/>
                        </w:rPr>
                        <w:t> </w:t>
                      </w:r>
                      <w:r>
                        <w:rPr>
                          <w:b/>
                          <w:w w:val="80"/>
                          <w:sz w:val="24"/>
                        </w:rPr>
                        <w:t>L</w:t>
                      </w:r>
                      <w:r>
                        <w:rPr>
                          <w:b/>
                          <w:spacing w:val="-14"/>
                          <w:w w:val="80"/>
                          <w:sz w:val="24"/>
                        </w:rPr>
                        <w:t> </w:t>
                      </w:r>
                      <w:r>
                        <w:rPr>
                          <w:b/>
                          <w:w w:val="80"/>
                          <w:sz w:val="24"/>
                        </w:rPr>
                        <w:t>a</w:t>
                      </w:r>
                      <w:r>
                        <w:rPr>
                          <w:b/>
                          <w:spacing w:val="-20"/>
                          <w:w w:val="80"/>
                          <w:sz w:val="24"/>
                        </w:rPr>
                        <w:t> </w:t>
                      </w:r>
                      <w:r>
                        <w:rPr>
                          <w:b/>
                          <w:w w:val="80"/>
                          <w:sz w:val="24"/>
                        </w:rPr>
                        <w:t>t</w:t>
                      </w:r>
                      <w:r>
                        <w:rPr>
                          <w:b/>
                          <w:spacing w:val="-26"/>
                          <w:w w:val="80"/>
                          <w:sz w:val="24"/>
                        </w:rPr>
                        <w:t> </w:t>
                      </w:r>
                      <w:r>
                        <w:rPr>
                          <w:b/>
                          <w:spacing w:val="10"/>
                          <w:w w:val="80"/>
                          <w:sz w:val="24"/>
                        </w:rPr>
                        <w:t>en</w:t>
                      </w:r>
                      <w:r>
                        <w:rPr>
                          <w:b/>
                          <w:spacing w:val="-16"/>
                          <w:w w:val="80"/>
                          <w:sz w:val="24"/>
                        </w:rPr>
                        <w:t> </w:t>
                      </w:r>
                      <w:r>
                        <w:rPr>
                          <w:b/>
                          <w:w w:val="80"/>
                          <w:sz w:val="24"/>
                        </w:rPr>
                        <w:t>c</w:t>
                      </w:r>
                      <w:r>
                        <w:rPr>
                          <w:b/>
                          <w:spacing w:val="-23"/>
                          <w:w w:val="80"/>
                          <w:sz w:val="24"/>
                        </w:rPr>
                        <w:t> </w:t>
                      </w:r>
                      <w:r>
                        <w:rPr>
                          <w:b/>
                          <w:w w:val="80"/>
                          <w:sz w:val="24"/>
                        </w:rPr>
                        <w:t>y</w:t>
                      </w:r>
                      <w:r>
                        <w:rPr>
                          <w:b/>
                          <w:spacing w:val="31"/>
                          <w:sz w:val="24"/>
                        </w:rPr>
                        <w:t> </w:t>
                      </w:r>
                      <w:r>
                        <w:rPr>
                          <w:b/>
                          <w:spacing w:val="12"/>
                          <w:w w:val="80"/>
                          <w:sz w:val="24"/>
                        </w:rPr>
                        <w:t>(se</w:t>
                      </w:r>
                      <w:r>
                        <w:rPr>
                          <w:b/>
                          <w:spacing w:val="-23"/>
                          <w:w w:val="80"/>
                          <w:sz w:val="24"/>
                        </w:rPr>
                        <w:t> </w:t>
                      </w:r>
                      <w:r>
                        <w:rPr>
                          <w:b/>
                          <w:w w:val="80"/>
                          <w:sz w:val="24"/>
                        </w:rPr>
                        <w:t>c</w:t>
                      </w:r>
                      <w:r>
                        <w:rPr>
                          <w:b/>
                          <w:spacing w:val="-23"/>
                          <w:w w:val="80"/>
                          <w:sz w:val="24"/>
                        </w:rPr>
                        <w:t> </w:t>
                      </w:r>
                      <w:r>
                        <w:rPr>
                          <w:b/>
                          <w:w w:val="80"/>
                          <w:sz w:val="24"/>
                        </w:rPr>
                        <w:t>o</w:t>
                      </w:r>
                      <w:r>
                        <w:rPr>
                          <w:b/>
                          <w:spacing w:val="-20"/>
                          <w:w w:val="80"/>
                          <w:sz w:val="24"/>
                        </w:rPr>
                        <w:t> </w:t>
                      </w:r>
                      <w:r>
                        <w:rPr>
                          <w:b/>
                          <w:w w:val="80"/>
                          <w:sz w:val="24"/>
                        </w:rPr>
                        <w:t>n</w:t>
                      </w:r>
                      <w:r>
                        <w:rPr>
                          <w:b/>
                          <w:spacing w:val="-21"/>
                          <w:w w:val="80"/>
                          <w:sz w:val="24"/>
                        </w:rPr>
                        <w:t> </w:t>
                      </w:r>
                      <w:r>
                        <w:rPr>
                          <w:b/>
                          <w:w w:val="80"/>
                          <w:sz w:val="24"/>
                        </w:rPr>
                        <w:t>d</w:t>
                      </w:r>
                      <w:r>
                        <w:rPr>
                          <w:b/>
                          <w:spacing w:val="-15"/>
                          <w:w w:val="80"/>
                          <w:sz w:val="24"/>
                        </w:rPr>
                        <w:t> </w:t>
                      </w:r>
                      <w:r>
                        <w:rPr>
                          <w:b/>
                          <w:spacing w:val="5"/>
                          <w:w w:val="80"/>
                          <w:sz w:val="24"/>
                        </w:rPr>
                        <w:t>s)</w:t>
                      </w:r>
                    </w:p>
                  </w:txbxContent>
                </v:textbox>
                <w10:wrap type="none"/>
              </v:shape>
            </w:pict>
          </mc:Fallback>
        </mc:AlternateContent>
      </w:r>
      <w:r>
        <w:rPr>
          <w:rFonts w:ascii="Arial MT"/>
          <w:spacing w:val="-10"/>
          <w:w w:val="90"/>
          <w:sz w:val="15"/>
        </w:rPr>
        <w:t>2</w:t>
      </w:r>
    </w:p>
    <w:p>
      <w:pPr>
        <w:pStyle w:val="BodyText"/>
        <w:rPr>
          <w:rFonts w:ascii="Arial MT"/>
          <w:sz w:val="15"/>
        </w:rPr>
      </w:pPr>
    </w:p>
    <w:p>
      <w:pPr>
        <w:pStyle w:val="BodyText"/>
        <w:rPr>
          <w:rFonts w:ascii="Arial MT"/>
          <w:sz w:val="15"/>
        </w:rPr>
      </w:pPr>
    </w:p>
    <w:p>
      <w:pPr>
        <w:pStyle w:val="BodyText"/>
        <w:rPr>
          <w:rFonts w:ascii="Arial MT"/>
          <w:sz w:val="15"/>
        </w:rPr>
      </w:pPr>
    </w:p>
    <w:p>
      <w:pPr>
        <w:pStyle w:val="BodyText"/>
        <w:rPr>
          <w:rFonts w:ascii="Arial MT"/>
          <w:sz w:val="15"/>
        </w:rPr>
      </w:pPr>
    </w:p>
    <w:p>
      <w:pPr>
        <w:pStyle w:val="BodyText"/>
        <w:spacing w:before="1"/>
        <w:rPr>
          <w:rFonts w:ascii="Arial MT"/>
          <w:sz w:val="15"/>
        </w:rPr>
      </w:pPr>
    </w:p>
    <w:p>
      <w:pPr>
        <w:spacing w:before="1"/>
        <w:ind w:left="1174" w:right="0" w:firstLine="0"/>
        <w:jc w:val="left"/>
        <w:rPr>
          <w:rFonts w:ascii="Arial MT"/>
          <w:sz w:val="15"/>
        </w:rPr>
      </w:pPr>
      <w:r>
        <w:rPr>
          <w:rFonts w:ascii="Arial MT"/>
          <w:spacing w:val="-5"/>
          <w:w w:val="90"/>
          <w:sz w:val="15"/>
        </w:rPr>
        <w:t>1.5</w:t>
      </w:r>
    </w:p>
    <w:p>
      <w:pPr>
        <w:pStyle w:val="BodyText"/>
        <w:rPr>
          <w:rFonts w:ascii="Arial MT"/>
          <w:sz w:val="15"/>
        </w:rPr>
      </w:pPr>
    </w:p>
    <w:p>
      <w:pPr>
        <w:pStyle w:val="BodyText"/>
        <w:rPr>
          <w:rFonts w:ascii="Arial MT"/>
          <w:sz w:val="15"/>
        </w:rPr>
      </w:pPr>
    </w:p>
    <w:p>
      <w:pPr>
        <w:pStyle w:val="BodyText"/>
        <w:rPr>
          <w:rFonts w:ascii="Arial MT"/>
          <w:sz w:val="15"/>
        </w:rPr>
      </w:pPr>
    </w:p>
    <w:p>
      <w:pPr>
        <w:pStyle w:val="BodyText"/>
        <w:rPr>
          <w:rFonts w:ascii="Arial MT"/>
          <w:sz w:val="15"/>
        </w:rPr>
      </w:pPr>
    </w:p>
    <w:p>
      <w:pPr>
        <w:pStyle w:val="BodyText"/>
        <w:spacing w:before="6"/>
        <w:rPr>
          <w:rFonts w:ascii="Arial MT"/>
          <w:sz w:val="15"/>
        </w:rPr>
      </w:pPr>
    </w:p>
    <w:p>
      <w:pPr>
        <w:spacing w:before="0"/>
        <w:ind w:left="1275" w:right="0" w:firstLine="0"/>
        <w:jc w:val="left"/>
        <w:rPr>
          <w:rFonts w:ascii="Arial MT"/>
          <w:sz w:val="15"/>
        </w:rPr>
      </w:pPr>
      <w:r>
        <w:rPr>
          <w:rFonts w:ascii="Arial MT"/>
          <w:spacing w:val="-10"/>
          <w:w w:val="90"/>
          <w:sz w:val="15"/>
        </w:rPr>
        <w:t>1</w:t>
      </w:r>
    </w:p>
    <w:p>
      <w:pPr>
        <w:pStyle w:val="BodyText"/>
        <w:rPr>
          <w:rFonts w:ascii="Arial MT"/>
          <w:sz w:val="15"/>
        </w:rPr>
      </w:pPr>
    </w:p>
    <w:p>
      <w:pPr>
        <w:pStyle w:val="BodyText"/>
        <w:rPr>
          <w:rFonts w:ascii="Arial MT"/>
          <w:sz w:val="15"/>
        </w:rPr>
      </w:pPr>
    </w:p>
    <w:p>
      <w:pPr>
        <w:pStyle w:val="BodyText"/>
        <w:rPr>
          <w:rFonts w:ascii="Arial MT"/>
          <w:sz w:val="15"/>
        </w:rPr>
      </w:pPr>
    </w:p>
    <w:p>
      <w:pPr>
        <w:pStyle w:val="BodyText"/>
        <w:rPr>
          <w:rFonts w:ascii="Arial MT"/>
          <w:sz w:val="15"/>
        </w:rPr>
      </w:pPr>
    </w:p>
    <w:p>
      <w:pPr>
        <w:pStyle w:val="BodyText"/>
        <w:spacing w:before="7"/>
        <w:rPr>
          <w:rFonts w:ascii="Arial MT"/>
          <w:sz w:val="15"/>
        </w:rPr>
      </w:pPr>
    </w:p>
    <w:p>
      <w:pPr>
        <w:spacing w:before="0"/>
        <w:ind w:left="1174" w:right="0" w:firstLine="0"/>
        <w:jc w:val="left"/>
        <w:rPr>
          <w:rFonts w:ascii="Arial MT"/>
          <w:sz w:val="15"/>
        </w:rPr>
      </w:pPr>
      <w:r>
        <w:rPr>
          <w:rFonts w:ascii="Arial MT"/>
          <w:spacing w:val="-5"/>
          <w:w w:val="90"/>
          <w:sz w:val="15"/>
        </w:rPr>
        <w:t>0.5</w:t>
      </w:r>
    </w:p>
    <w:p>
      <w:pPr>
        <w:pStyle w:val="BodyText"/>
        <w:rPr>
          <w:rFonts w:ascii="Arial MT"/>
          <w:sz w:val="15"/>
        </w:rPr>
      </w:pPr>
    </w:p>
    <w:p>
      <w:pPr>
        <w:pStyle w:val="BodyText"/>
        <w:rPr>
          <w:rFonts w:ascii="Arial MT"/>
          <w:sz w:val="15"/>
        </w:rPr>
      </w:pPr>
    </w:p>
    <w:p>
      <w:pPr>
        <w:pStyle w:val="BodyText"/>
        <w:rPr>
          <w:rFonts w:ascii="Arial MT"/>
          <w:sz w:val="15"/>
        </w:rPr>
      </w:pPr>
    </w:p>
    <w:p>
      <w:pPr>
        <w:pStyle w:val="BodyText"/>
        <w:rPr>
          <w:rFonts w:ascii="Arial MT"/>
          <w:sz w:val="15"/>
        </w:rPr>
      </w:pPr>
    </w:p>
    <w:p>
      <w:pPr>
        <w:pStyle w:val="BodyText"/>
        <w:spacing w:before="2"/>
        <w:rPr>
          <w:rFonts w:ascii="Arial MT"/>
          <w:sz w:val="15"/>
        </w:rPr>
      </w:pPr>
    </w:p>
    <w:p>
      <w:pPr>
        <w:spacing w:before="0"/>
        <w:ind w:left="1275" w:right="0" w:firstLine="0"/>
        <w:jc w:val="left"/>
        <w:rPr>
          <w:rFonts w:ascii="Arial MT"/>
          <w:sz w:val="15"/>
        </w:rPr>
      </w:pPr>
      <w:r>
        <w:rPr>
          <w:rFonts w:ascii="Arial MT"/>
          <w:spacing w:val="-10"/>
          <w:w w:val="90"/>
          <w:sz w:val="15"/>
        </w:rPr>
        <w:t>0</w:t>
      </w:r>
    </w:p>
    <w:p>
      <w:pPr>
        <w:tabs>
          <w:tab w:pos="4827" w:val="left" w:leader="none"/>
          <w:tab w:pos="7227" w:val="left" w:leader="none"/>
        </w:tabs>
        <w:spacing w:before="122"/>
        <w:ind w:left="2254" w:right="0" w:firstLine="0"/>
        <w:jc w:val="left"/>
        <w:rPr>
          <w:b/>
          <w:sz w:val="21"/>
        </w:rPr>
      </w:pPr>
      <w:r>
        <w:rPr>
          <w:b/>
          <w:w w:val="80"/>
          <w:sz w:val="21"/>
        </w:rPr>
        <w:t>30</w:t>
      </w:r>
      <w:r>
        <w:rPr>
          <w:b/>
          <w:spacing w:val="-2"/>
          <w:w w:val="90"/>
          <w:sz w:val="21"/>
        </w:rPr>
        <w:t> minutes</w:t>
      </w:r>
      <w:r>
        <w:rPr>
          <w:b/>
          <w:sz w:val="21"/>
        </w:rPr>
        <w:tab/>
      </w:r>
      <w:r>
        <w:rPr>
          <w:b/>
          <w:w w:val="80"/>
          <w:sz w:val="21"/>
        </w:rPr>
        <w:t>1</w:t>
      </w:r>
      <w:r>
        <w:rPr>
          <w:b/>
          <w:spacing w:val="-3"/>
          <w:w w:val="90"/>
          <w:sz w:val="21"/>
        </w:rPr>
        <w:t> </w:t>
      </w:r>
      <w:r>
        <w:rPr>
          <w:b/>
          <w:spacing w:val="-4"/>
          <w:w w:val="90"/>
          <w:sz w:val="21"/>
        </w:rPr>
        <w:t>Hour</w:t>
      </w:r>
      <w:r>
        <w:rPr>
          <w:b/>
          <w:sz w:val="21"/>
        </w:rPr>
        <w:tab/>
      </w:r>
      <w:r>
        <w:rPr>
          <w:b/>
          <w:w w:val="80"/>
          <w:sz w:val="21"/>
        </w:rPr>
        <w:t>2</w:t>
      </w:r>
      <w:r>
        <w:rPr>
          <w:b/>
          <w:spacing w:val="-3"/>
          <w:w w:val="90"/>
          <w:sz w:val="21"/>
        </w:rPr>
        <w:t> </w:t>
      </w:r>
      <w:r>
        <w:rPr>
          <w:b/>
          <w:spacing w:val="-2"/>
          <w:w w:val="90"/>
          <w:sz w:val="21"/>
        </w:rPr>
        <w:t>Hours</w:t>
      </w:r>
    </w:p>
    <w:p>
      <w:pPr>
        <w:pStyle w:val="BodyText"/>
        <w:rPr>
          <w:b/>
        </w:rPr>
      </w:pPr>
    </w:p>
    <w:p>
      <w:pPr>
        <w:pStyle w:val="BodyText"/>
        <w:spacing w:before="7"/>
        <w:rPr>
          <w:b/>
        </w:rPr>
      </w:pPr>
    </w:p>
    <w:p>
      <w:pPr>
        <w:spacing w:before="0"/>
        <w:ind w:left="665" w:right="0" w:firstLine="0"/>
        <w:jc w:val="left"/>
        <w:rPr>
          <w:b/>
          <w:sz w:val="22"/>
        </w:rPr>
      </w:pPr>
      <w:r>
        <w:rPr>
          <w:b/>
          <w:sz w:val="22"/>
        </w:rPr>
        <w:t>Figure</w:t>
      </w:r>
      <w:r>
        <w:rPr>
          <w:b/>
          <w:spacing w:val="7"/>
          <w:sz w:val="22"/>
        </w:rPr>
        <w:t> </w:t>
      </w:r>
      <w:r>
        <w:rPr>
          <w:b/>
          <w:sz w:val="22"/>
        </w:rPr>
        <w:t>4.6:</w:t>
      </w:r>
      <w:r>
        <w:rPr>
          <w:b/>
          <w:spacing w:val="15"/>
          <w:sz w:val="22"/>
        </w:rPr>
        <w:t> </w:t>
      </w:r>
      <w:r>
        <w:rPr>
          <w:b/>
          <w:sz w:val="22"/>
        </w:rPr>
        <w:t>Mean</w:t>
      </w:r>
      <w:r>
        <w:rPr>
          <w:b/>
          <w:spacing w:val="7"/>
          <w:sz w:val="22"/>
        </w:rPr>
        <w:t> </w:t>
      </w:r>
      <w:r>
        <w:rPr>
          <w:b/>
          <w:sz w:val="22"/>
        </w:rPr>
        <w:t>foot-slips</w:t>
      </w:r>
      <w:r>
        <w:rPr>
          <w:b/>
          <w:spacing w:val="12"/>
          <w:sz w:val="22"/>
        </w:rPr>
        <w:t> </w:t>
      </w:r>
      <w:r>
        <w:rPr>
          <w:b/>
          <w:sz w:val="22"/>
        </w:rPr>
        <w:t>during</w:t>
      </w:r>
      <w:r>
        <w:rPr>
          <w:b/>
          <w:spacing w:val="9"/>
          <w:sz w:val="22"/>
        </w:rPr>
        <w:t> </w:t>
      </w:r>
      <w:r>
        <w:rPr>
          <w:b/>
          <w:sz w:val="22"/>
        </w:rPr>
        <w:t>beam</w:t>
      </w:r>
      <w:r>
        <w:rPr>
          <w:b/>
          <w:spacing w:val="12"/>
          <w:sz w:val="22"/>
        </w:rPr>
        <w:t> </w:t>
      </w:r>
      <w:r>
        <w:rPr>
          <w:b/>
          <w:sz w:val="22"/>
        </w:rPr>
        <w:t>walk</w:t>
      </w:r>
      <w:r>
        <w:rPr>
          <w:b/>
          <w:spacing w:val="18"/>
          <w:sz w:val="22"/>
        </w:rPr>
        <w:t> </w:t>
      </w:r>
      <w:r>
        <w:rPr>
          <w:b/>
          <w:spacing w:val="-4"/>
          <w:sz w:val="22"/>
        </w:rPr>
        <w:t>test.</w:t>
      </w:r>
    </w:p>
    <w:p>
      <w:pPr>
        <w:spacing w:after="0"/>
        <w:jc w:val="left"/>
        <w:rPr>
          <w:sz w:val="22"/>
        </w:rPr>
        <w:sectPr>
          <w:pgSz w:w="12240" w:h="15840"/>
          <w:pgMar w:header="0" w:footer="916" w:top="1360" w:bottom="1100" w:left="1720" w:right="960"/>
        </w:sectPr>
      </w:pPr>
    </w:p>
    <w:p>
      <w:pPr>
        <w:pStyle w:val="Heading2"/>
        <w:numPr>
          <w:ilvl w:val="1"/>
          <w:numId w:val="26"/>
        </w:numPr>
        <w:tabs>
          <w:tab w:pos="1009" w:val="left" w:leader="none"/>
        </w:tabs>
        <w:spacing w:line="240" w:lineRule="auto" w:before="80" w:after="0"/>
        <w:ind w:left="1009" w:right="0" w:hanging="344"/>
        <w:jc w:val="left"/>
      </w:pPr>
      <w:bookmarkStart w:name="_TOC_250014" w:id="43"/>
      <w:r>
        <w:rPr/>
        <w:t>ANALYSIS</w:t>
      </w:r>
      <w:r>
        <w:rPr>
          <w:spacing w:val="15"/>
        </w:rPr>
        <w:t> </w:t>
      </w:r>
      <w:r>
        <w:rPr/>
        <w:t>OF</w:t>
      </w:r>
      <w:r>
        <w:rPr>
          <w:spacing w:val="12"/>
        </w:rPr>
        <w:t> </w:t>
      </w:r>
      <w:r>
        <w:rPr/>
        <w:t>BLOOD</w:t>
      </w:r>
      <w:r>
        <w:rPr>
          <w:spacing w:val="11"/>
        </w:rPr>
        <w:t> </w:t>
      </w:r>
      <w:bookmarkEnd w:id="43"/>
      <w:r>
        <w:rPr>
          <w:spacing w:val="-2"/>
        </w:rPr>
        <w:t>CARBOXYHAEMOGLOBIN</w:t>
      </w:r>
    </w:p>
    <w:p>
      <w:pPr>
        <w:pStyle w:val="BodyText"/>
        <w:spacing w:before="7"/>
        <w:rPr>
          <w:b/>
        </w:rPr>
      </w:pPr>
    </w:p>
    <w:p>
      <w:pPr>
        <w:pStyle w:val="BodyText"/>
        <w:spacing w:line="491" w:lineRule="auto" w:before="1"/>
        <w:ind w:left="665" w:right="896"/>
      </w:pPr>
      <w:r>
        <w:rPr/>
        <w:t>Percentage</w:t>
      </w:r>
      <w:r>
        <w:rPr>
          <w:spacing w:val="38"/>
        </w:rPr>
        <w:t> </w:t>
      </w:r>
      <w:r>
        <w:rPr/>
        <w:t>COHb</w:t>
      </w:r>
      <w:r>
        <w:rPr>
          <w:spacing w:val="35"/>
        </w:rPr>
        <w:t> </w:t>
      </w:r>
      <w:r>
        <w:rPr/>
        <w:t>was</w:t>
      </w:r>
      <w:r>
        <w:rPr>
          <w:spacing w:val="30"/>
        </w:rPr>
        <w:t> </w:t>
      </w:r>
      <w:r>
        <w:rPr/>
        <w:t>found</w:t>
      </w:r>
      <w:r>
        <w:rPr>
          <w:spacing w:val="35"/>
        </w:rPr>
        <w:t> </w:t>
      </w:r>
      <w:r>
        <w:rPr/>
        <w:t>to</w:t>
      </w:r>
      <w:r>
        <w:rPr>
          <w:spacing w:val="35"/>
        </w:rPr>
        <w:t> </w:t>
      </w:r>
      <w:r>
        <w:rPr/>
        <w:t>be</w:t>
      </w:r>
      <w:r>
        <w:rPr>
          <w:spacing w:val="27"/>
        </w:rPr>
        <w:t> </w:t>
      </w:r>
      <w:r>
        <w:rPr/>
        <w:t>significantly</w:t>
      </w:r>
      <w:r>
        <w:rPr>
          <w:spacing w:val="23"/>
        </w:rPr>
        <w:t> </w:t>
      </w:r>
      <w:r>
        <w:rPr/>
        <w:t>higher</w:t>
      </w:r>
      <w:r>
        <w:rPr>
          <w:spacing w:val="39"/>
        </w:rPr>
        <w:t> </w:t>
      </w:r>
      <w:r>
        <w:rPr/>
        <w:t>in</w:t>
      </w:r>
      <w:r>
        <w:rPr>
          <w:spacing w:val="23"/>
        </w:rPr>
        <w:t> </w:t>
      </w:r>
      <w:r>
        <w:rPr/>
        <w:t>the</w:t>
      </w:r>
      <w:r>
        <w:rPr>
          <w:spacing w:val="32"/>
        </w:rPr>
        <w:t> </w:t>
      </w:r>
      <w:r>
        <w:rPr/>
        <w:t>exposed</w:t>
      </w:r>
      <w:r>
        <w:rPr>
          <w:spacing w:val="35"/>
        </w:rPr>
        <w:t> </w:t>
      </w:r>
      <w:r>
        <w:rPr/>
        <w:t>(2.06</w:t>
      </w:r>
      <w:r>
        <w:rPr>
          <w:spacing w:val="35"/>
        </w:rPr>
        <w:t> </w:t>
      </w:r>
      <w:r>
        <w:rPr/>
        <w:t>±</w:t>
      </w:r>
      <w:r>
        <w:rPr>
          <w:spacing w:val="32"/>
        </w:rPr>
        <w:t> </w:t>
      </w:r>
      <w:r>
        <w:rPr/>
        <w:t>0.12%) than in the control group (0.78 ± 0.089%) with P &lt; 0.05 (Table 4.10).</w:t>
      </w:r>
    </w:p>
    <w:p>
      <w:pPr>
        <w:spacing w:after="0" w:line="491" w:lineRule="auto"/>
        <w:sectPr>
          <w:pgSz w:w="12240" w:h="15840"/>
          <w:pgMar w:header="0" w:footer="916" w:top="1260" w:bottom="1100" w:left="1720" w:right="960"/>
        </w:sectPr>
      </w:pPr>
    </w:p>
    <w:p>
      <w:pPr>
        <w:pStyle w:val="BodyText"/>
        <w:ind w:left="962"/>
        <w:rPr>
          <w:sz w:val="20"/>
        </w:rPr>
      </w:pPr>
      <w:r>
        <w:rPr>
          <w:sz w:val="20"/>
        </w:rPr>
        <w:drawing>
          <wp:inline distT="0" distB="0" distL="0" distR="0">
            <wp:extent cx="4595432" cy="3874770"/>
            <wp:effectExtent l="0" t="0" r="0" b="0"/>
            <wp:docPr id="171" name="Image 171"/>
            <wp:cNvGraphicFramePr>
              <a:graphicFrameLocks/>
            </wp:cNvGraphicFramePr>
            <a:graphic>
              <a:graphicData uri="http://schemas.openxmlformats.org/drawingml/2006/picture">
                <pic:pic>
                  <pic:nvPicPr>
                    <pic:cNvPr id="171" name="Image 171"/>
                    <pic:cNvPicPr/>
                  </pic:nvPicPr>
                  <pic:blipFill>
                    <a:blip r:embed="rId15" cstate="print"/>
                    <a:stretch>
                      <a:fillRect/>
                    </a:stretch>
                  </pic:blipFill>
                  <pic:spPr>
                    <a:xfrm>
                      <a:off x="0" y="0"/>
                      <a:ext cx="4595432" cy="3874770"/>
                    </a:xfrm>
                    <a:prstGeom prst="rect">
                      <a:avLst/>
                    </a:prstGeom>
                  </pic:spPr>
                </pic:pic>
              </a:graphicData>
            </a:graphic>
          </wp:inline>
        </w:drawing>
      </w:r>
      <w:r>
        <w:rPr>
          <w:sz w:val="20"/>
        </w:rPr>
      </w:r>
    </w:p>
    <w:p>
      <w:pPr>
        <w:pStyle w:val="BodyText"/>
        <w:spacing w:before="249"/>
      </w:pPr>
    </w:p>
    <w:p>
      <w:pPr>
        <w:pStyle w:val="Heading3"/>
        <w:spacing w:line="491" w:lineRule="auto"/>
        <w:ind w:right="896"/>
      </w:pPr>
      <w:r>
        <w:rPr/>
        <w:t>Figure</w:t>
      </w:r>
      <w:r>
        <w:rPr>
          <w:spacing w:val="80"/>
        </w:rPr>
        <w:t> </w:t>
      </w:r>
      <w:r>
        <w:rPr/>
        <w:t>4.7:</w:t>
      </w:r>
      <w:r>
        <w:rPr>
          <w:spacing w:val="80"/>
        </w:rPr>
        <w:t> </w:t>
      </w:r>
      <w:r>
        <w:rPr/>
        <w:t>Percentage</w:t>
      </w:r>
      <w:r>
        <w:rPr>
          <w:spacing w:val="80"/>
        </w:rPr>
        <w:t> </w:t>
      </w:r>
      <w:r>
        <w:rPr/>
        <w:t>carboxyhaemoglobin</w:t>
      </w:r>
      <w:r>
        <w:rPr>
          <w:spacing w:val="80"/>
        </w:rPr>
        <w:t> </w:t>
      </w:r>
      <w:r>
        <w:rPr/>
        <w:t>in</w:t>
      </w:r>
      <w:r>
        <w:rPr>
          <w:spacing w:val="80"/>
        </w:rPr>
        <w:t> </w:t>
      </w:r>
      <w:r>
        <w:rPr/>
        <w:t>the</w:t>
      </w:r>
      <w:r>
        <w:rPr>
          <w:spacing w:val="80"/>
        </w:rPr>
        <w:t> </w:t>
      </w:r>
      <w:r>
        <w:rPr/>
        <w:t>control</w:t>
      </w:r>
      <w:r>
        <w:rPr>
          <w:spacing w:val="80"/>
        </w:rPr>
        <w:t> </w:t>
      </w:r>
      <w:r>
        <w:rPr/>
        <w:t>and</w:t>
      </w:r>
      <w:r>
        <w:rPr>
          <w:spacing w:val="80"/>
        </w:rPr>
        <w:t> </w:t>
      </w:r>
      <w:r>
        <w:rPr/>
        <w:t>experimental </w:t>
      </w:r>
      <w:r>
        <w:rPr>
          <w:spacing w:val="-2"/>
        </w:rPr>
        <w:t>groups</w:t>
      </w:r>
    </w:p>
    <w:p>
      <w:pPr>
        <w:pStyle w:val="BodyText"/>
        <w:spacing w:line="248" w:lineRule="exact"/>
        <w:ind w:left="665"/>
      </w:pPr>
      <w:r>
        <w:rPr>
          <w:vertAlign w:val="superscript"/>
        </w:rPr>
        <w:t>a,</w:t>
      </w:r>
      <w:r>
        <w:rPr>
          <w:spacing w:val="-12"/>
          <w:vertAlign w:val="baseline"/>
        </w:rPr>
        <w:t> </w:t>
      </w:r>
      <w:r>
        <w:rPr>
          <w:vertAlign w:val="superscript"/>
        </w:rPr>
        <w:t>b</w:t>
      </w:r>
      <w:r>
        <w:rPr>
          <w:spacing w:val="12"/>
          <w:vertAlign w:val="baseline"/>
        </w:rPr>
        <w:t> </w:t>
      </w:r>
      <w:r>
        <w:rPr>
          <w:vertAlign w:val="baseline"/>
        </w:rPr>
        <w:t>=</w:t>
      </w:r>
      <w:r>
        <w:rPr>
          <w:spacing w:val="6"/>
          <w:vertAlign w:val="baseline"/>
        </w:rPr>
        <w:t> </w:t>
      </w:r>
      <w:r>
        <w:rPr>
          <w:vertAlign w:val="baseline"/>
        </w:rPr>
        <w:t>values</w:t>
      </w:r>
      <w:r>
        <w:rPr>
          <w:spacing w:val="8"/>
          <w:vertAlign w:val="baseline"/>
        </w:rPr>
        <w:t> </w:t>
      </w:r>
      <w:r>
        <w:rPr>
          <w:vertAlign w:val="baseline"/>
        </w:rPr>
        <w:t>with</w:t>
      </w:r>
      <w:r>
        <w:rPr>
          <w:spacing w:val="6"/>
          <w:vertAlign w:val="baseline"/>
        </w:rPr>
        <w:t> </w:t>
      </w:r>
      <w:r>
        <w:rPr>
          <w:vertAlign w:val="baseline"/>
        </w:rPr>
        <w:t>different</w:t>
      </w:r>
      <w:r>
        <w:rPr>
          <w:spacing w:val="14"/>
          <w:vertAlign w:val="baseline"/>
        </w:rPr>
        <w:t> </w:t>
      </w:r>
      <w:r>
        <w:rPr>
          <w:vertAlign w:val="baseline"/>
        </w:rPr>
        <w:t>superscript</w:t>
      </w:r>
      <w:r>
        <w:rPr>
          <w:spacing w:val="9"/>
          <w:vertAlign w:val="baseline"/>
        </w:rPr>
        <w:t> </w:t>
      </w:r>
      <w:r>
        <w:rPr>
          <w:vertAlign w:val="baseline"/>
        </w:rPr>
        <w:t>letters</w:t>
      </w:r>
      <w:r>
        <w:rPr>
          <w:spacing w:val="13"/>
          <w:vertAlign w:val="baseline"/>
        </w:rPr>
        <w:t> </w:t>
      </w:r>
      <w:r>
        <w:rPr>
          <w:vertAlign w:val="baseline"/>
        </w:rPr>
        <w:t>indicate</w:t>
      </w:r>
      <w:r>
        <w:rPr>
          <w:spacing w:val="10"/>
          <w:vertAlign w:val="baseline"/>
        </w:rPr>
        <w:t> </w:t>
      </w:r>
      <w:r>
        <w:rPr>
          <w:vertAlign w:val="baseline"/>
        </w:rPr>
        <w:t>significance</w:t>
      </w:r>
      <w:r>
        <w:rPr>
          <w:spacing w:val="9"/>
          <w:vertAlign w:val="baseline"/>
        </w:rPr>
        <w:t> </w:t>
      </w:r>
      <w:r>
        <w:rPr>
          <w:vertAlign w:val="baseline"/>
        </w:rPr>
        <w:t>at</w:t>
      </w:r>
      <w:r>
        <w:rPr>
          <w:spacing w:val="9"/>
          <w:vertAlign w:val="baseline"/>
        </w:rPr>
        <w:t> </w:t>
      </w:r>
      <w:r>
        <w:rPr>
          <w:vertAlign w:val="baseline"/>
        </w:rPr>
        <w:t>P</w:t>
      </w:r>
      <w:r>
        <w:rPr>
          <w:spacing w:val="14"/>
          <w:vertAlign w:val="baseline"/>
        </w:rPr>
        <w:t> </w:t>
      </w:r>
      <w:r>
        <w:rPr>
          <w:vertAlign w:val="baseline"/>
        </w:rPr>
        <w:t>&lt;</w:t>
      </w:r>
      <w:r>
        <w:rPr>
          <w:spacing w:val="1"/>
          <w:vertAlign w:val="baseline"/>
        </w:rPr>
        <w:t> </w:t>
      </w:r>
      <w:r>
        <w:rPr>
          <w:vertAlign w:val="baseline"/>
        </w:rPr>
        <w:t>0.05</w:t>
      </w:r>
      <w:r>
        <w:rPr>
          <w:spacing w:val="6"/>
          <w:vertAlign w:val="baseline"/>
        </w:rPr>
        <w:t> </w:t>
      </w:r>
      <w:r>
        <w:rPr>
          <w:vertAlign w:val="baseline"/>
        </w:rPr>
        <w:t>and</w:t>
      </w:r>
      <w:r>
        <w:rPr>
          <w:spacing w:val="11"/>
          <w:vertAlign w:val="baseline"/>
        </w:rPr>
        <w:t> </w:t>
      </w:r>
      <w:r>
        <w:rPr>
          <w:vertAlign w:val="baseline"/>
        </w:rPr>
        <w:t>n</w:t>
      </w:r>
      <w:r>
        <w:rPr>
          <w:spacing w:val="6"/>
          <w:vertAlign w:val="baseline"/>
        </w:rPr>
        <w:t> </w:t>
      </w:r>
      <w:r>
        <w:rPr>
          <w:vertAlign w:val="baseline"/>
        </w:rPr>
        <w:t>=</w:t>
      </w:r>
      <w:r>
        <w:rPr>
          <w:spacing w:val="7"/>
          <w:vertAlign w:val="baseline"/>
        </w:rPr>
        <w:t> </w:t>
      </w:r>
      <w:r>
        <w:rPr>
          <w:spacing w:val="-10"/>
          <w:vertAlign w:val="baseline"/>
        </w:rPr>
        <w:t>5</w:t>
      </w:r>
    </w:p>
    <w:p>
      <w:pPr>
        <w:spacing w:after="0" w:line="248" w:lineRule="exact"/>
        <w:sectPr>
          <w:pgSz w:w="12240" w:h="15840"/>
          <w:pgMar w:header="0" w:footer="916" w:top="1480" w:bottom="1100" w:left="1720" w:right="960"/>
        </w:sectPr>
      </w:pPr>
    </w:p>
    <w:p>
      <w:pPr>
        <w:pStyle w:val="Heading2"/>
        <w:numPr>
          <w:ilvl w:val="1"/>
          <w:numId w:val="26"/>
        </w:numPr>
        <w:tabs>
          <w:tab w:pos="1009" w:val="left" w:leader="none"/>
        </w:tabs>
        <w:spacing w:line="240" w:lineRule="auto" w:before="80" w:after="0"/>
        <w:ind w:left="1009" w:right="0" w:hanging="344"/>
        <w:jc w:val="left"/>
      </w:pPr>
      <w:bookmarkStart w:name="_TOC_250013" w:id="44"/>
      <w:r>
        <w:rPr/>
        <w:t>SUMMARY</w:t>
      </w:r>
      <w:r>
        <w:rPr>
          <w:spacing w:val="15"/>
        </w:rPr>
        <w:t> </w:t>
      </w:r>
      <w:r>
        <w:rPr/>
        <w:t>OF</w:t>
      </w:r>
      <w:r>
        <w:rPr>
          <w:spacing w:val="13"/>
        </w:rPr>
        <w:t> </w:t>
      </w:r>
      <w:bookmarkEnd w:id="44"/>
      <w:r>
        <w:rPr>
          <w:spacing w:val="-2"/>
        </w:rPr>
        <w:t>RESULTS</w:t>
      </w:r>
    </w:p>
    <w:p>
      <w:pPr>
        <w:pStyle w:val="BodyText"/>
        <w:rPr>
          <w:b/>
        </w:rPr>
      </w:pPr>
    </w:p>
    <w:p>
      <w:pPr>
        <w:pStyle w:val="BodyText"/>
        <w:rPr>
          <w:b/>
        </w:rPr>
      </w:pPr>
    </w:p>
    <w:p>
      <w:pPr>
        <w:pStyle w:val="BodyText"/>
        <w:spacing w:before="25"/>
        <w:rPr>
          <w:b/>
        </w:rPr>
      </w:pPr>
    </w:p>
    <w:p>
      <w:pPr>
        <w:pStyle w:val="Heading3"/>
      </w:pPr>
      <w:r>
        <w:rPr>
          <w:spacing w:val="-2"/>
        </w:rPr>
        <w:t>Learning</w:t>
      </w:r>
    </w:p>
    <w:p>
      <w:pPr>
        <w:pStyle w:val="BodyText"/>
        <w:spacing w:before="7"/>
        <w:rPr>
          <w:b/>
        </w:rPr>
      </w:pPr>
    </w:p>
    <w:p>
      <w:pPr>
        <w:pStyle w:val="BodyText"/>
        <w:spacing w:line="491" w:lineRule="auto"/>
        <w:ind w:left="665" w:right="897"/>
        <w:jc w:val="both"/>
      </w:pPr>
      <w:r>
        <w:rPr/>
        <w:t>When TLs of the control and experimental groups were compared in the three exposure periods,</w:t>
      </w:r>
      <w:r>
        <w:rPr>
          <w:spacing w:val="40"/>
        </w:rPr>
        <w:t> </w:t>
      </w:r>
      <w:r>
        <w:rPr/>
        <w:t>only the</w:t>
      </w:r>
      <w:r>
        <w:rPr>
          <w:spacing w:val="40"/>
        </w:rPr>
        <w:t> </w:t>
      </w:r>
      <w:r>
        <w:rPr/>
        <w:t>30</w:t>
      </w:r>
      <w:r>
        <w:rPr>
          <w:spacing w:val="40"/>
        </w:rPr>
        <w:t> </w:t>
      </w:r>
      <w:r>
        <w:rPr/>
        <w:t>minutes</w:t>
      </w:r>
      <w:r>
        <w:rPr>
          <w:spacing w:val="38"/>
        </w:rPr>
        <w:t> </w:t>
      </w:r>
      <w:r>
        <w:rPr/>
        <w:t>and</w:t>
      </w:r>
      <w:r>
        <w:rPr>
          <w:spacing w:val="40"/>
        </w:rPr>
        <w:t> </w:t>
      </w:r>
      <w:r>
        <w:rPr/>
        <w:t>1</w:t>
      </w:r>
      <w:r>
        <w:rPr>
          <w:spacing w:val="40"/>
        </w:rPr>
        <w:t> </w:t>
      </w:r>
      <w:r>
        <w:rPr/>
        <w:t>hour</w:t>
      </w:r>
      <w:r>
        <w:rPr>
          <w:spacing w:val="40"/>
        </w:rPr>
        <w:t> </w:t>
      </w:r>
      <w:r>
        <w:rPr/>
        <w:t>exposure</w:t>
      </w:r>
      <w:r>
        <w:rPr>
          <w:spacing w:val="40"/>
        </w:rPr>
        <w:t> </w:t>
      </w:r>
      <w:r>
        <w:rPr/>
        <w:t>periods</w:t>
      </w:r>
      <w:r>
        <w:rPr>
          <w:spacing w:val="40"/>
        </w:rPr>
        <w:t> </w:t>
      </w:r>
      <w:r>
        <w:rPr/>
        <w:t>showed</w:t>
      </w:r>
      <w:r>
        <w:rPr>
          <w:spacing w:val="40"/>
        </w:rPr>
        <w:t> </w:t>
      </w:r>
      <w:r>
        <w:rPr/>
        <w:t>significant</w:t>
      </w:r>
      <w:r>
        <w:rPr>
          <w:spacing w:val="40"/>
        </w:rPr>
        <w:t> </w:t>
      </w:r>
      <w:r>
        <w:rPr/>
        <w:t>change with P values of 0.023 and 0.001, respectively at P &lt; 0.05. Although latency of the experimental</w:t>
      </w:r>
      <w:r>
        <w:rPr>
          <w:spacing w:val="31"/>
        </w:rPr>
        <w:t> </w:t>
      </w:r>
      <w:r>
        <w:rPr/>
        <w:t>group drop to 13.4</w:t>
      </w:r>
      <w:r>
        <w:rPr>
          <w:spacing w:val="34"/>
        </w:rPr>
        <w:t> </w:t>
      </w:r>
      <w:r>
        <w:rPr/>
        <w:t>± 1.5</w:t>
      </w:r>
      <w:r>
        <w:rPr>
          <w:spacing w:val="31"/>
        </w:rPr>
        <w:t> </w:t>
      </w:r>
      <w:r>
        <w:rPr/>
        <w:t>seconds during the 30 minutes of CO exposure, that of 1 hour exposure period increases to 73 ± 8.3 seconds when compared to their controls (28.6 ± 5.2 sec.) and (21.8 ± 4.4 sec.) respectively. It may thus suggest improvement of learning at shorter period of CO exposure (30 minute) as opposed to impairment</w:t>
      </w:r>
      <w:r>
        <w:rPr>
          <w:spacing w:val="33"/>
        </w:rPr>
        <w:t> </w:t>
      </w:r>
      <w:r>
        <w:rPr/>
        <w:t>of</w:t>
      </w:r>
      <w:r>
        <w:rPr>
          <w:spacing w:val="34"/>
        </w:rPr>
        <w:t> </w:t>
      </w:r>
      <w:r>
        <w:rPr/>
        <w:t>learning ability at</w:t>
      </w:r>
      <w:r>
        <w:rPr>
          <w:spacing w:val="37"/>
        </w:rPr>
        <w:t> </w:t>
      </w:r>
      <w:r>
        <w:rPr/>
        <w:t>longer</w:t>
      </w:r>
      <w:r>
        <w:rPr>
          <w:spacing w:val="34"/>
        </w:rPr>
        <w:t> </w:t>
      </w:r>
      <w:r>
        <w:rPr/>
        <w:t>periods of CO</w:t>
      </w:r>
      <w:r>
        <w:rPr>
          <w:spacing w:val="39"/>
        </w:rPr>
        <w:t> </w:t>
      </w:r>
      <w:r>
        <w:rPr/>
        <w:t>exposure</w:t>
      </w:r>
      <w:r>
        <w:rPr>
          <w:spacing w:val="33"/>
        </w:rPr>
        <w:t> </w:t>
      </w:r>
      <w:r>
        <w:rPr/>
        <w:t>(1</w:t>
      </w:r>
      <w:r>
        <w:rPr>
          <w:spacing w:val="35"/>
        </w:rPr>
        <w:t> </w:t>
      </w:r>
      <w:r>
        <w:rPr/>
        <w:t>and</w:t>
      </w:r>
      <w:r>
        <w:rPr>
          <w:spacing w:val="40"/>
        </w:rPr>
        <w:t> </w:t>
      </w:r>
      <w:r>
        <w:rPr/>
        <w:t>2</w:t>
      </w:r>
      <w:r>
        <w:rPr>
          <w:spacing w:val="35"/>
        </w:rPr>
        <w:t> </w:t>
      </w:r>
      <w:r>
        <w:rPr/>
        <w:t>hours)</w:t>
      </w:r>
      <w:r>
        <w:rPr>
          <w:spacing w:val="34"/>
        </w:rPr>
        <w:t> </w:t>
      </w:r>
      <w:r>
        <w:rPr/>
        <w:t>(Fig. </w:t>
      </w:r>
      <w:r>
        <w:rPr>
          <w:spacing w:val="-2"/>
        </w:rPr>
        <w:t>4.1).</w:t>
      </w:r>
    </w:p>
    <w:p>
      <w:pPr>
        <w:pStyle w:val="BodyText"/>
      </w:pPr>
    </w:p>
    <w:p>
      <w:pPr>
        <w:pStyle w:val="BodyText"/>
        <w:spacing w:before="20"/>
      </w:pPr>
    </w:p>
    <w:p>
      <w:pPr>
        <w:pStyle w:val="Heading3"/>
        <w:spacing w:before="1"/>
      </w:pPr>
      <w:r>
        <w:rPr>
          <w:spacing w:val="-2"/>
        </w:rPr>
        <w:t>Memory</w:t>
      </w:r>
    </w:p>
    <w:p>
      <w:pPr>
        <w:pStyle w:val="BodyText"/>
        <w:spacing w:before="7"/>
        <w:rPr>
          <w:b/>
        </w:rPr>
      </w:pPr>
    </w:p>
    <w:p>
      <w:pPr>
        <w:pStyle w:val="BodyText"/>
        <w:spacing w:line="491" w:lineRule="auto"/>
        <w:ind w:left="665" w:right="903"/>
        <w:jc w:val="both"/>
      </w:pPr>
      <w:r>
        <w:rPr/>
        <w:t>There were significant increases in the TLs of the experimental group during the 30 minutes (48.2 ± 12.8 sec.) and 2 hours (66.8 ± 15.3 sec.) of exposure when compared to the</w:t>
      </w:r>
      <w:r>
        <w:rPr>
          <w:spacing w:val="40"/>
        </w:rPr>
        <w:t> </w:t>
      </w:r>
      <w:r>
        <w:rPr/>
        <w:t>controls</w:t>
      </w:r>
      <w:r>
        <w:rPr>
          <w:spacing w:val="40"/>
        </w:rPr>
        <w:t> </w:t>
      </w:r>
      <w:r>
        <w:rPr/>
        <w:t>(13.6</w:t>
      </w:r>
      <w:r>
        <w:rPr>
          <w:spacing w:val="40"/>
        </w:rPr>
        <w:t> </w:t>
      </w:r>
      <w:r>
        <w:rPr/>
        <w:t>±</w:t>
      </w:r>
      <w:r>
        <w:rPr>
          <w:spacing w:val="40"/>
        </w:rPr>
        <w:t> </w:t>
      </w:r>
      <w:r>
        <w:rPr/>
        <w:t>1.9</w:t>
      </w:r>
      <w:r>
        <w:rPr>
          <w:spacing w:val="40"/>
        </w:rPr>
        <w:t> </w:t>
      </w:r>
      <w:r>
        <w:rPr/>
        <w:t>sec.)</w:t>
      </w:r>
      <w:r>
        <w:rPr>
          <w:spacing w:val="40"/>
        </w:rPr>
        <w:t> </w:t>
      </w:r>
      <w:r>
        <w:rPr/>
        <w:t>and</w:t>
      </w:r>
      <w:r>
        <w:rPr>
          <w:spacing w:val="40"/>
        </w:rPr>
        <w:t> </w:t>
      </w:r>
      <w:r>
        <w:rPr/>
        <w:t>(22.6</w:t>
      </w:r>
      <w:r>
        <w:rPr>
          <w:spacing w:val="40"/>
        </w:rPr>
        <w:t> </w:t>
      </w:r>
      <w:r>
        <w:rPr/>
        <w:t>±</w:t>
      </w:r>
      <w:r>
        <w:rPr>
          <w:spacing w:val="40"/>
        </w:rPr>
        <w:t> </w:t>
      </w:r>
      <w:r>
        <w:rPr/>
        <w:t>6.6</w:t>
      </w:r>
      <w:r>
        <w:rPr>
          <w:spacing w:val="40"/>
        </w:rPr>
        <w:t> </w:t>
      </w:r>
      <w:r>
        <w:rPr/>
        <w:t>sec.),</w:t>
      </w:r>
      <w:r>
        <w:rPr>
          <w:spacing w:val="40"/>
        </w:rPr>
        <w:t> </w:t>
      </w:r>
      <w:r>
        <w:rPr/>
        <w:t>respectively.</w:t>
      </w:r>
      <w:r>
        <w:rPr>
          <w:spacing w:val="40"/>
        </w:rPr>
        <w:t> </w:t>
      </w:r>
      <w:r>
        <w:rPr/>
        <w:t>Results</w:t>
      </w:r>
      <w:r>
        <w:rPr>
          <w:spacing w:val="40"/>
        </w:rPr>
        <w:t> </w:t>
      </w:r>
      <w:r>
        <w:rPr/>
        <w:t>suggest impaired recall of the learned behaviour in virtually all the three exposure periods (Fig. </w:t>
      </w:r>
      <w:r>
        <w:rPr>
          <w:spacing w:val="-2"/>
        </w:rPr>
        <w:t>4.2).</w:t>
      </w:r>
    </w:p>
    <w:p>
      <w:pPr>
        <w:pStyle w:val="BodyText"/>
      </w:pPr>
    </w:p>
    <w:p>
      <w:pPr>
        <w:pStyle w:val="BodyText"/>
        <w:spacing w:before="21"/>
      </w:pPr>
    </w:p>
    <w:p>
      <w:pPr>
        <w:pStyle w:val="Heading3"/>
      </w:pPr>
      <w:r>
        <w:rPr/>
        <w:t>Motor</w:t>
      </w:r>
      <w:r>
        <w:rPr>
          <w:spacing w:val="18"/>
        </w:rPr>
        <w:t> </w:t>
      </w:r>
      <w:r>
        <w:rPr>
          <w:spacing w:val="-2"/>
        </w:rPr>
        <w:t>coordination</w:t>
      </w:r>
    </w:p>
    <w:p>
      <w:pPr>
        <w:pStyle w:val="BodyText"/>
        <w:spacing w:before="8"/>
        <w:rPr>
          <w:b/>
        </w:rPr>
      </w:pPr>
    </w:p>
    <w:p>
      <w:pPr>
        <w:pStyle w:val="BodyText"/>
        <w:spacing w:line="491" w:lineRule="auto"/>
        <w:ind w:left="665" w:right="901"/>
        <w:jc w:val="both"/>
      </w:pPr>
      <w:r>
        <w:rPr/>
        <w:t>There were no statistically significant differences between the control and experimental groups</w:t>
      </w:r>
      <w:r>
        <w:rPr>
          <w:spacing w:val="40"/>
        </w:rPr>
        <w:t> </w:t>
      </w:r>
      <w:r>
        <w:rPr/>
        <w:t>to</w:t>
      </w:r>
      <w:r>
        <w:rPr>
          <w:spacing w:val="40"/>
        </w:rPr>
        <w:t> </w:t>
      </w:r>
      <w:r>
        <w:rPr/>
        <w:t>suggest</w:t>
      </w:r>
      <w:r>
        <w:rPr>
          <w:spacing w:val="40"/>
        </w:rPr>
        <w:t> </w:t>
      </w:r>
      <w:r>
        <w:rPr/>
        <w:t>any</w:t>
      </w:r>
      <w:r>
        <w:rPr>
          <w:spacing w:val="40"/>
        </w:rPr>
        <w:t> </w:t>
      </w:r>
      <w:r>
        <w:rPr/>
        <w:t>motor</w:t>
      </w:r>
      <w:r>
        <w:rPr>
          <w:spacing w:val="40"/>
        </w:rPr>
        <w:t> </w:t>
      </w:r>
      <w:r>
        <w:rPr/>
        <w:t>coordination</w:t>
      </w:r>
      <w:r>
        <w:rPr>
          <w:spacing w:val="40"/>
        </w:rPr>
        <w:t> </w:t>
      </w:r>
      <w:r>
        <w:rPr/>
        <w:t>deficits</w:t>
      </w:r>
      <w:r>
        <w:rPr>
          <w:spacing w:val="40"/>
        </w:rPr>
        <w:t> </w:t>
      </w:r>
      <w:r>
        <w:rPr/>
        <w:t>in</w:t>
      </w:r>
      <w:r>
        <w:rPr>
          <w:spacing w:val="40"/>
        </w:rPr>
        <w:t> </w:t>
      </w:r>
      <w:r>
        <w:rPr/>
        <w:t>all</w:t>
      </w:r>
      <w:r>
        <w:rPr>
          <w:spacing w:val="40"/>
        </w:rPr>
        <w:t> </w:t>
      </w:r>
      <w:r>
        <w:rPr/>
        <w:t>the</w:t>
      </w:r>
      <w:r>
        <w:rPr>
          <w:spacing w:val="40"/>
        </w:rPr>
        <w:t> </w:t>
      </w:r>
      <w:r>
        <w:rPr/>
        <w:t>three</w:t>
      </w:r>
      <w:r>
        <w:rPr>
          <w:spacing w:val="40"/>
        </w:rPr>
        <w:t> </w:t>
      </w:r>
      <w:r>
        <w:rPr/>
        <w:t>periods</w:t>
      </w:r>
      <w:r>
        <w:rPr>
          <w:spacing w:val="40"/>
        </w:rPr>
        <w:t> </w:t>
      </w:r>
      <w:r>
        <w:rPr/>
        <w:t>of</w:t>
      </w:r>
      <w:r>
        <w:rPr>
          <w:spacing w:val="40"/>
        </w:rPr>
        <w:t> </w:t>
      </w:r>
      <w:r>
        <w:rPr/>
        <w:t>CO </w:t>
      </w:r>
      <w:r>
        <w:rPr>
          <w:spacing w:val="-2"/>
        </w:rPr>
        <w:t>exposure.</w:t>
      </w:r>
    </w:p>
    <w:p>
      <w:pPr>
        <w:spacing w:after="0" w:line="491" w:lineRule="auto"/>
        <w:jc w:val="both"/>
        <w:sectPr>
          <w:pgSz w:w="12240" w:h="15840"/>
          <w:pgMar w:header="0" w:footer="916" w:top="1260" w:bottom="1100" w:left="1720" w:right="960"/>
        </w:sectPr>
      </w:pPr>
    </w:p>
    <w:p>
      <w:pPr>
        <w:pStyle w:val="Heading3"/>
        <w:spacing w:before="78"/>
        <w:jc w:val="both"/>
      </w:pPr>
      <w:r>
        <w:rPr/>
        <w:t>Blood</w:t>
      </w:r>
      <w:r>
        <w:rPr>
          <w:spacing w:val="19"/>
        </w:rPr>
        <w:t> </w:t>
      </w:r>
      <w:r>
        <w:rPr>
          <w:spacing w:val="-2"/>
        </w:rPr>
        <w:t>Carboxyhaemoglobin</w:t>
      </w:r>
    </w:p>
    <w:p>
      <w:pPr>
        <w:pStyle w:val="BodyText"/>
        <w:spacing w:before="8"/>
        <w:rPr>
          <w:b/>
        </w:rPr>
      </w:pPr>
    </w:p>
    <w:p>
      <w:pPr>
        <w:pStyle w:val="BodyText"/>
        <w:spacing w:line="491" w:lineRule="auto"/>
        <w:ind w:left="665" w:right="900"/>
        <w:jc w:val="both"/>
      </w:pPr>
      <w:r>
        <w:rPr/>
        <w:t>There was significant (P = 0.0001) increase in the percentage COHb of the experimental group (2.06 ± 0.12) when compared to the control (0.78 ± 0.089), thus suggesting additional exogenous exposure.</w:t>
      </w:r>
    </w:p>
    <w:p>
      <w:pPr>
        <w:spacing w:after="0" w:line="491" w:lineRule="auto"/>
        <w:jc w:val="both"/>
        <w:sectPr>
          <w:pgSz w:w="12240" w:h="15840"/>
          <w:pgMar w:header="0" w:footer="916" w:top="1780" w:bottom="1100" w:left="1720" w:right="960"/>
        </w:sectPr>
      </w:pPr>
    </w:p>
    <w:p>
      <w:pPr>
        <w:pStyle w:val="Heading1"/>
        <w:spacing w:before="67"/>
      </w:pPr>
      <w:bookmarkStart w:name="_TOC_250012" w:id="45"/>
      <w:r>
        <w:rPr/>
        <w:t>CHAPTER</w:t>
      </w:r>
      <w:r>
        <w:rPr>
          <w:spacing w:val="6"/>
        </w:rPr>
        <w:t> </w:t>
      </w:r>
      <w:bookmarkEnd w:id="45"/>
      <w:r>
        <w:rPr>
          <w:spacing w:val="-4"/>
        </w:rPr>
        <w:t>FIVE</w:t>
      </w:r>
    </w:p>
    <w:p>
      <w:pPr>
        <w:pStyle w:val="BodyText"/>
        <w:rPr>
          <w:b/>
        </w:rPr>
      </w:pPr>
    </w:p>
    <w:p>
      <w:pPr>
        <w:pStyle w:val="BodyText"/>
        <w:rPr>
          <w:b/>
        </w:rPr>
      </w:pPr>
    </w:p>
    <w:p>
      <w:pPr>
        <w:pStyle w:val="BodyText"/>
        <w:rPr>
          <w:b/>
        </w:rPr>
      </w:pPr>
    </w:p>
    <w:p>
      <w:pPr>
        <w:pStyle w:val="BodyText"/>
        <w:spacing w:before="204"/>
        <w:rPr>
          <w:b/>
        </w:rPr>
      </w:pPr>
    </w:p>
    <w:p>
      <w:pPr>
        <w:pStyle w:val="Heading2"/>
        <w:numPr>
          <w:ilvl w:val="1"/>
          <w:numId w:val="27"/>
        </w:numPr>
        <w:tabs>
          <w:tab w:pos="1008" w:val="left" w:leader="none"/>
        </w:tabs>
        <w:spacing w:line="240" w:lineRule="auto" w:before="0" w:after="0"/>
        <w:ind w:left="1008" w:right="0" w:hanging="343"/>
        <w:jc w:val="left"/>
      </w:pPr>
      <w:bookmarkStart w:name="_TOC_250011" w:id="46"/>
      <w:bookmarkEnd w:id="46"/>
      <w:r>
        <w:rPr>
          <w:spacing w:val="-2"/>
        </w:rPr>
        <w:t>DISCUSSION</w:t>
      </w:r>
    </w:p>
    <w:p>
      <w:pPr>
        <w:pStyle w:val="BodyText"/>
        <w:spacing w:before="195"/>
        <w:rPr>
          <w:b/>
        </w:rPr>
      </w:pPr>
    </w:p>
    <w:p>
      <w:pPr>
        <w:pStyle w:val="BodyText"/>
        <w:spacing w:line="491" w:lineRule="auto"/>
        <w:ind w:left="665" w:right="894"/>
        <w:jc w:val="both"/>
      </w:pPr>
      <w:r>
        <w:rPr/>
        <w:t>Several studies in humans confirm neurotoxicity to be the most prominent symptoms in any CO poisoning (Samuel </w:t>
      </w:r>
      <w:r>
        <w:rPr>
          <w:i/>
        </w:rPr>
        <w:t>et al</w:t>
      </w:r>
      <w:r>
        <w:rPr/>
        <w:t>., 2007; USEPA,</w:t>
      </w:r>
      <w:r>
        <w:rPr>
          <w:spacing w:val="40"/>
        </w:rPr>
        <w:t> </w:t>
      </w:r>
      <w:r>
        <w:rPr/>
        <w:t>2010).</w:t>
      </w:r>
      <w:r>
        <w:rPr>
          <w:spacing w:val="40"/>
        </w:rPr>
        <w:t> </w:t>
      </w:r>
      <w:r>
        <w:rPr/>
        <w:t>Animal studies also suggest foetal</w:t>
      </w:r>
      <w:r>
        <w:rPr>
          <w:spacing w:val="40"/>
        </w:rPr>
        <w:t> </w:t>
      </w:r>
      <w:r>
        <w:rPr/>
        <w:t>susceptibility,</w:t>
      </w:r>
      <w:r>
        <w:rPr>
          <w:spacing w:val="40"/>
        </w:rPr>
        <w:t> </w:t>
      </w:r>
      <w:r>
        <w:rPr/>
        <w:t>and</w:t>
      </w:r>
      <w:r>
        <w:rPr>
          <w:spacing w:val="40"/>
        </w:rPr>
        <w:t> </w:t>
      </w:r>
      <w:r>
        <w:rPr/>
        <w:t>that</w:t>
      </w:r>
      <w:r>
        <w:rPr>
          <w:spacing w:val="40"/>
        </w:rPr>
        <w:t> </w:t>
      </w:r>
      <w:r>
        <w:rPr/>
        <w:t>the</w:t>
      </w:r>
      <w:r>
        <w:rPr>
          <w:spacing w:val="40"/>
        </w:rPr>
        <w:t> </w:t>
      </w:r>
      <w:r>
        <w:rPr/>
        <w:t>developing</w:t>
      </w:r>
      <w:r>
        <w:rPr>
          <w:spacing w:val="40"/>
        </w:rPr>
        <w:t> </w:t>
      </w:r>
      <w:r>
        <w:rPr/>
        <w:t>brain</w:t>
      </w:r>
      <w:r>
        <w:rPr>
          <w:spacing w:val="40"/>
        </w:rPr>
        <w:t> </w:t>
      </w:r>
      <w:r>
        <w:rPr/>
        <w:t>has</w:t>
      </w:r>
      <w:r>
        <w:rPr>
          <w:spacing w:val="40"/>
        </w:rPr>
        <w:t> </w:t>
      </w:r>
      <w:r>
        <w:rPr/>
        <w:t>the</w:t>
      </w:r>
      <w:r>
        <w:rPr>
          <w:spacing w:val="40"/>
        </w:rPr>
        <w:t> </w:t>
      </w:r>
      <w:r>
        <w:rPr/>
        <w:t>highest</w:t>
      </w:r>
      <w:r>
        <w:rPr>
          <w:spacing w:val="40"/>
        </w:rPr>
        <w:t> </w:t>
      </w:r>
      <w:r>
        <w:rPr/>
        <w:t>sensitivity of</w:t>
      </w:r>
      <w:r>
        <w:rPr>
          <w:spacing w:val="40"/>
        </w:rPr>
        <w:t> </w:t>
      </w:r>
      <w:r>
        <w:rPr/>
        <w:t>all organs (Longo </w:t>
      </w:r>
      <w:r>
        <w:rPr>
          <w:i/>
        </w:rPr>
        <w:t>et al</w:t>
      </w:r>
      <w:r>
        <w:rPr/>
        <w:t>., 1977). It was estimated that as high as 50%</w:t>
      </w:r>
      <w:r>
        <w:rPr>
          <w:spacing w:val="-1"/>
        </w:rPr>
        <w:t> </w:t>
      </w:r>
      <w:r>
        <w:rPr/>
        <w:t>of individuals with CO poisoning will develop neurologic, neurobehavioural, or cognitive sequelae. Carbon monoxide-related cognitive deficits included impaired memory, attention, executive function,</w:t>
      </w:r>
      <w:r>
        <w:rPr>
          <w:spacing w:val="20"/>
        </w:rPr>
        <w:t> </w:t>
      </w:r>
      <w:r>
        <w:rPr/>
        <w:t>motor, visual spatial,</w:t>
      </w:r>
      <w:r>
        <w:rPr>
          <w:spacing w:val="20"/>
        </w:rPr>
        <w:t> </w:t>
      </w:r>
      <w:r>
        <w:rPr/>
        <w:t>and</w:t>
      </w:r>
      <w:r>
        <w:rPr>
          <w:spacing w:val="21"/>
        </w:rPr>
        <w:t> </w:t>
      </w:r>
      <w:r>
        <w:rPr/>
        <w:t>slow mental processing speed (Hopkins </w:t>
      </w:r>
      <w:r>
        <w:rPr>
          <w:i/>
        </w:rPr>
        <w:t>et al</w:t>
      </w:r>
      <w:r>
        <w:rPr/>
        <w:t>., 2006).</w:t>
      </w:r>
    </w:p>
    <w:p>
      <w:pPr>
        <w:pStyle w:val="BodyText"/>
      </w:pPr>
    </w:p>
    <w:p>
      <w:pPr>
        <w:pStyle w:val="BodyText"/>
        <w:spacing w:before="11"/>
      </w:pPr>
    </w:p>
    <w:p>
      <w:pPr>
        <w:pStyle w:val="BodyText"/>
        <w:spacing w:line="491" w:lineRule="auto"/>
        <w:ind w:left="665" w:right="894"/>
        <w:jc w:val="both"/>
      </w:pPr>
      <w:r>
        <w:rPr/>
        <w:t>Depicting real CO toxicity in human subjects through experiments may not be possible, but laboratory animal models have been instrumental in shaping our understanding of some of these toxic gases. Simple but explicable models such as the EPM, Morris water maze and</w:t>
      </w:r>
      <w:r>
        <w:rPr>
          <w:spacing w:val="40"/>
        </w:rPr>
        <w:t> </w:t>
      </w:r>
      <w:r>
        <w:rPr/>
        <w:t>the open field are of value in the evaluation of learning and</w:t>
      </w:r>
      <w:r>
        <w:rPr>
          <w:spacing w:val="40"/>
        </w:rPr>
        <w:t> </w:t>
      </w:r>
      <w:r>
        <w:rPr/>
        <w:t>memory </w:t>
      </w:r>
      <w:r>
        <w:rPr>
          <w:spacing w:val="-2"/>
        </w:rPr>
        <w:t>modulation.</w:t>
      </w:r>
    </w:p>
    <w:p>
      <w:pPr>
        <w:pStyle w:val="BodyText"/>
      </w:pPr>
    </w:p>
    <w:p>
      <w:pPr>
        <w:pStyle w:val="BodyText"/>
        <w:spacing w:before="21"/>
      </w:pPr>
    </w:p>
    <w:p>
      <w:pPr>
        <w:pStyle w:val="Heading2"/>
        <w:numPr>
          <w:ilvl w:val="1"/>
          <w:numId w:val="27"/>
        </w:numPr>
        <w:tabs>
          <w:tab w:pos="1008" w:val="left" w:leader="none"/>
        </w:tabs>
        <w:spacing w:line="240" w:lineRule="auto" w:before="0" w:after="0"/>
        <w:ind w:left="1008" w:right="0" w:hanging="343"/>
        <w:jc w:val="left"/>
      </w:pPr>
      <w:bookmarkStart w:name="_TOC_250010" w:id="47"/>
      <w:r>
        <w:rPr/>
        <w:t>LEARNING/ACQUISITION</w:t>
      </w:r>
      <w:r>
        <w:rPr>
          <w:spacing w:val="24"/>
        </w:rPr>
        <w:t> </w:t>
      </w:r>
      <w:r>
        <w:rPr/>
        <w:t>AND</w:t>
      </w:r>
      <w:r>
        <w:rPr>
          <w:spacing w:val="24"/>
        </w:rPr>
        <w:t> </w:t>
      </w:r>
      <w:bookmarkEnd w:id="47"/>
      <w:r>
        <w:rPr>
          <w:spacing w:val="-2"/>
        </w:rPr>
        <w:t>MEMORY/RECALL</w:t>
      </w:r>
    </w:p>
    <w:p>
      <w:pPr>
        <w:pStyle w:val="BodyText"/>
        <w:spacing w:before="8"/>
        <w:rPr>
          <w:b/>
        </w:rPr>
      </w:pPr>
    </w:p>
    <w:p>
      <w:pPr>
        <w:pStyle w:val="BodyText"/>
        <w:spacing w:line="491" w:lineRule="auto"/>
        <w:ind w:left="665" w:right="901"/>
        <w:jc w:val="both"/>
      </w:pPr>
      <w:r>
        <w:rPr/>
        <w:t>The hippocampus is a part of the limbic system that plays a part in memory and spatial navigation. Although scientists believe that no single brain centre stores memory, hippocampus</w:t>
      </w:r>
      <w:r>
        <w:rPr>
          <w:spacing w:val="11"/>
        </w:rPr>
        <w:t> </w:t>
      </w:r>
      <w:r>
        <w:rPr/>
        <w:t>plays</w:t>
      </w:r>
      <w:r>
        <w:rPr>
          <w:spacing w:val="17"/>
        </w:rPr>
        <w:t> </w:t>
      </w:r>
      <w:r>
        <w:rPr/>
        <w:t>an</w:t>
      </w:r>
      <w:r>
        <w:rPr>
          <w:spacing w:val="16"/>
        </w:rPr>
        <w:t> </w:t>
      </w:r>
      <w:r>
        <w:rPr/>
        <w:t>essential</w:t>
      </w:r>
      <w:r>
        <w:rPr>
          <w:spacing w:val="12"/>
        </w:rPr>
        <w:t> </w:t>
      </w:r>
      <w:r>
        <w:rPr/>
        <w:t>role</w:t>
      </w:r>
      <w:r>
        <w:rPr>
          <w:spacing w:val="20"/>
        </w:rPr>
        <w:t> </w:t>
      </w:r>
      <w:r>
        <w:rPr/>
        <w:t>in</w:t>
      </w:r>
      <w:r>
        <w:rPr>
          <w:spacing w:val="16"/>
        </w:rPr>
        <w:t> </w:t>
      </w:r>
      <w:r>
        <w:rPr/>
        <w:t>the</w:t>
      </w:r>
      <w:r>
        <w:rPr>
          <w:spacing w:val="24"/>
        </w:rPr>
        <w:t> </w:t>
      </w:r>
      <w:r>
        <w:rPr/>
        <w:t>formation</w:t>
      </w:r>
      <w:r>
        <w:rPr>
          <w:spacing w:val="16"/>
        </w:rPr>
        <w:t> </w:t>
      </w:r>
      <w:r>
        <w:rPr/>
        <w:t>of</w:t>
      </w:r>
      <w:r>
        <w:rPr>
          <w:spacing w:val="15"/>
        </w:rPr>
        <w:t> </w:t>
      </w:r>
      <w:r>
        <w:rPr/>
        <w:t>new</w:t>
      </w:r>
      <w:r>
        <w:rPr>
          <w:spacing w:val="18"/>
        </w:rPr>
        <w:t> </w:t>
      </w:r>
      <w:r>
        <w:rPr/>
        <w:t>memories</w:t>
      </w:r>
      <w:r>
        <w:rPr>
          <w:spacing w:val="17"/>
        </w:rPr>
        <w:t> </w:t>
      </w:r>
      <w:r>
        <w:rPr/>
        <w:t>and</w:t>
      </w:r>
      <w:r>
        <w:rPr>
          <w:spacing w:val="27"/>
        </w:rPr>
        <w:t> </w:t>
      </w:r>
      <w:r>
        <w:rPr/>
        <w:t>form</w:t>
      </w:r>
      <w:r>
        <w:rPr>
          <w:spacing w:val="15"/>
        </w:rPr>
        <w:t> </w:t>
      </w:r>
      <w:r>
        <w:rPr/>
        <w:t>part</w:t>
      </w:r>
      <w:r>
        <w:rPr>
          <w:spacing w:val="12"/>
        </w:rPr>
        <w:t> </w:t>
      </w:r>
      <w:r>
        <w:rPr/>
        <w:t>of a larger medial temporal lobe memory system responsible</w:t>
      </w:r>
      <w:r>
        <w:rPr>
          <w:spacing w:val="40"/>
        </w:rPr>
        <w:t> </w:t>
      </w:r>
      <w:r>
        <w:rPr/>
        <w:t>for</w:t>
      </w:r>
      <w:r>
        <w:rPr>
          <w:spacing w:val="40"/>
        </w:rPr>
        <w:t> </w:t>
      </w:r>
      <w:r>
        <w:rPr/>
        <w:t>long-term memory.</w:t>
      </w:r>
    </w:p>
    <w:p>
      <w:pPr>
        <w:spacing w:after="0" w:line="491" w:lineRule="auto"/>
        <w:jc w:val="both"/>
        <w:sectPr>
          <w:pgSz w:w="12240" w:h="15840"/>
          <w:pgMar w:header="0" w:footer="916" w:top="1260" w:bottom="1100" w:left="1720" w:right="960"/>
        </w:sectPr>
      </w:pPr>
    </w:p>
    <w:p>
      <w:pPr>
        <w:pStyle w:val="BodyText"/>
        <w:spacing w:line="491" w:lineRule="auto" w:before="75"/>
        <w:ind w:left="665" w:right="890"/>
        <w:jc w:val="both"/>
      </w:pPr>
      <w:r>
        <w:rPr/>
        <w:t>Comparison</w:t>
      </w:r>
      <w:r>
        <w:rPr>
          <w:spacing w:val="36"/>
        </w:rPr>
        <w:t> </w:t>
      </w:r>
      <w:r>
        <w:rPr/>
        <w:t>between</w:t>
      </w:r>
      <w:r>
        <w:rPr>
          <w:spacing w:val="36"/>
        </w:rPr>
        <w:t> </w:t>
      </w:r>
      <w:r>
        <w:rPr/>
        <w:t>control</w:t>
      </w:r>
      <w:r>
        <w:rPr>
          <w:spacing w:val="39"/>
        </w:rPr>
        <w:t> </w:t>
      </w:r>
      <w:r>
        <w:rPr/>
        <w:t>and</w:t>
      </w:r>
      <w:r>
        <w:rPr>
          <w:spacing w:val="40"/>
        </w:rPr>
        <w:t> </w:t>
      </w:r>
      <w:r>
        <w:rPr/>
        <w:t>experimental</w:t>
      </w:r>
      <w:r>
        <w:rPr>
          <w:spacing w:val="40"/>
        </w:rPr>
        <w:t> </w:t>
      </w:r>
      <w:r>
        <w:rPr/>
        <w:t>groups,</w:t>
      </w:r>
      <w:r>
        <w:rPr>
          <w:spacing w:val="40"/>
        </w:rPr>
        <w:t> </w:t>
      </w:r>
      <w:r>
        <w:rPr/>
        <w:t>and</w:t>
      </w:r>
      <w:r>
        <w:rPr>
          <w:spacing w:val="40"/>
        </w:rPr>
        <w:t> </w:t>
      </w:r>
      <w:r>
        <w:rPr/>
        <w:t>also</w:t>
      </w:r>
      <w:r>
        <w:rPr>
          <w:spacing w:val="40"/>
        </w:rPr>
        <w:t> </w:t>
      </w:r>
      <w:r>
        <w:rPr/>
        <w:t>between</w:t>
      </w:r>
      <w:r>
        <w:rPr>
          <w:spacing w:val="36"/>
        </w:rPr>
        <w:t> </w:t>
      </w:r>
      <w:r>
        <w:rPr/>
        <w:t>the</w:t>
      </w:r>
      <w:r>
        <w:rPr>
          <w:spacing w:val="40"/>
        </w:rPr>
        <w:t> </w:t>
      </w:r>
      <w:r>
        <w:rPr/>
        <w:t>first</w:t>
      </w:r>
      <w:r>
        <w:rPr>
          <w:spacing w:val="40"/>
        </w:rPr>
        <w:t> </w:t>
      </w:r>
      <w:r>
        <w:rPr/>
        <w:t>day task (learning/acquisition) and the second day task (memory/recall) will be assessed. A significant increase in the TLs of the experimental group when compared to the control group suggests CO exposure was able to distort either the acquisition of or recall of the learned behaviour or both. While having significant decrease in the TLs of the experimental group when compared to the control may suggest enhancement/ positive effect</w:t>
      </w:r>
      <w:r>
        <w:rPr>
          <w:spacing w:val="32"/>
        </w:rPr>
        <w:t> </w:t>
      </w:r>
      <w:r>
        <w:rPr/>
        <w:t>of</w:t>
      </w:r>
      <w:r>
        <w:rPr>
          <w:spacing w:val="35"/>
        </w:rPr>
        <w:t> </w:t>
      </w:r>
      <w:r>
        <w:rPr/>
        <w:t>CO</w:t>
      </w:r>
      <w:r>
        <w:rPr>
          <w:spacing w:val="34"/>
        </w:rPr>
        <w:t> </w:t>
      </w:r>
      <w:r>
        <w:rPr/>
        <w:t>on</w:t>
      </w:r>
      <w:r>
        <w:rPr>
          <w:spacing w:val="36"/>
        </w:rPr>
        <w:t> </w:t>
      </w:r>
      <w:r>
        <w:rPr/>
        <w:t>learning</w:t>
      </w:r>
      <w:r>
        <w:rPr>
          <w:spacing w:val="36"/>
        </w:rPr>
        <w:t> </w:t>
      </w:r>
      <w:r>
        <w:rPr/>
        <w:t>and</w:t>
      </w:r>
      <w:r>
        <w:rPr>
          <w:spacing w:val="36"/>
        </w:rPr>
        <w:t> </w:t>
      </w:r>
      <w:r>
        <w:rPr/>
        <w:t>memory.</w:t>
      </w:r>
      <w:r>
        <w:rPr>
          <w:spacing w:val="39"/>
        </w:rPr>
        <w:t> </w:t>
      </w:r>
      <w:r>
        <w:rPr/>
        <w:t>Lack</w:t>
      </w:r>
      <w:r>
        <w:rPr>
          <w:spacing w:val="30"/>
        </w:rPr>
        <w:t> </w:t>
      </w:r>
      <w:r>
        <w:rPr/>
        <w:t>of</w:t>
      </w:r>
      <w:r>
        <w:rPr>
          <w:spacing w:val="29"/>
        </w:rPr>
        <w:t> </w:t>
      </w:r>
      <w:r>
        <w:rPr/>
        <w:t>any</w:t>
      </w:r>
      <w:r>
        <w:rPr>
          <w:spacing w:val="30"/>
        </w:rPr>
        <w:t> </w:t>
      </w:r>
      <w:r>
        <w:rPr/>
        <w:t>significant</w:t>
      </w:r>
      <w:r>
        <w:rPr>
          <w:spacing w:val="32"/>
        </w:rPr>
        <w:t> </w:t>
      </w:r>
      <w:r>
        <w:rPr/>
        <w:t>difference</w:t>
      </w:r>
      <w:r>
        <w:rPr>
          <w:spacing w:val="39"/>
        </w:rPr>
        <w:t> </w:t>
      </w:r>
      <w:r>
        <w:rPr/>
        <w:t>between</w:t>
      </w:r>
      <w:r>
        <w:rPr>
          <w:spacing w:val="36"/>
        </w:rPr>
        <w:t> </w:t>
      </w:r>
      <w:r>
        <w:rPr/>
        <w:t>the two</w:t>
      </w:r>
      <w:r>
        <w:rPr>
          <w:spacing w:val="36"/>
        </w:rPr>
        <w:t> </w:t>
      </w:r>
      <w:r>
        <w:rPr/>
        <w:t>groups however</w:t>
      </w:r>
      <w:r>
        <w:rPr>
          <w:spacing w:val="29"/>
        </w:rPr>
        <w:t> </w:t>
      </w:r>
      <w:r>
        <w:rPr/>
        <w:t>does not rule out</w:t>
      </w:r>
      <w:r>
        <w:rPr>
          <w:spacing w:val="33"/>
        </w:rPr>
        <w:t> </w:t>
      </w:r>
      <w:r>
        <w:rPr/>
        <w:t>affectation.</w:t>
      </w:r>
      <w:r>
        <w:rPr>
          <w:spacing w:val="28"/>
        </w:rPr>
        <w:t> </w:t>
      </w:r>
      <w:r>
        <w:rPr/>
        <w:t>Another</w:t>
      </w:r>
      <w:r>
        <w:rPr>
          <w:spacing w:val="29"/>
        </w:rPr>
        <w:t> </w:t>
      </w:r>
      <w:r>
        <w:rPr/>
        <w:t>assessment was to</w:t>
      </w:r>
      <w:r>
        <w:rPr>
          <w:spacing w:val="30"/>
        </w:rPr>
        <w:t> </w:t>
      </w:r>
      <w:r>
        <w:rPr/>
        <w:t>compare the TLs between Day-1 (acquisition) and Day-2 (recall) in the control and experimental groups</w:t>
      </w:r>
      <w:r>
        <w:rPr>
          <w:spacing w:val="40"/>
        </w:rPr>
        <w:t> </w:t>
      </w:r>
      <w:r>
        <w:rPr/>
        <w:t>separately.</w:t>
      </w:r>
      <w:r>
        <w:rPr>
          <w:spacing w:val="40"/>
        </w:rPr>
        <w:t> </w:t>
      </w:r>
      <w:r>
        <w:rPr/>
        <w:t>The</w:t>
      </w:r>
      <w:r>
        <w:rPr>
          <w:spacing w:val="40"/>
        </w:rPr>
        <w:t> </w:t>
      </w:r>
      <w:r>
        <w:rPr/>
        <w:t>control</w:t>
      </w:r>
      <w:r>
        <w:rPr>
          <w:spacing w:val="40"/>
        </w:rPr>
        <w:t> </w:t>
      </w:r>
      <w:r>
        <w:rPr/>
        <w:t>groups</w:t>
      </w:r>
      <w:r>
        <w:rPr>
          <w:spacing w:val="40"/>
        </w:rPr>
        <w:t> </w:t>
      </w:r>
      <w:r>
        <w:rPr/>
        <w:t>were</w:t>
      </w:r>
      <w:r>
        <w:rPr>
          <w:spacing w:val="40"/>
        </w:rPr>
        <w:t> </w:t>
      </w:r>
      <w:r>
        <w:rPr/>
        <w:t>expected</w:t>
      </w:r>
      <w:r>
        <w:rPr>
          <w:spacing w:val="40"/>
        </w:rPr>
        <w:t> </w:t>
      </w:r>
      <w:r>
        <w:rPr/>
        <w:t>to</w:t>
      </w:r>
      <w:r>
        <w:rPr>
          <w:spacing w:val="40"/>
        </w:rPr>
        <w:t> </w:t>
      </w:r>
      <w:r>
        <w:rPr/>
        <w:t>be</w:t>
      </w:r>
      <w:r>
        <w:rPr>
          <w:spacing w:val="40"/>
        </w:rPr>
        <w:t> </w:t>
      </w:r>
      <w:r>
        <w:rPr/>
        <w:t>normal</w:t>
      </w:r>
      <w:r>
        <w:rPr>
          <w:spacing w:val="40"/>
        </w:rPr>
        <w:t> </w:t>
      </w:r>
      <w:r>
        <w:rPr/>
        <w:t>animals,</w:t>
      </w:r>
      <w:r>
        <w:rPr>
          <w:spacing w:val="40"/>
        </w:rPr>
        <w:t> </w:t>
      </w:r>
      <w:r>
        <w:rPr/>
        <w:t>and therefore</w:t>
      </w:r>
      <w:r>
        <w:rPr>
          <w:spacing w:val="37"/>
        </w:rPr>
        <w:t> </w:t>
      </w:r>
      <w:r>
        <w:rPr/>
        <w:t>had</w:t>
      </w:r>
      <w:r>
        <w:rPr>
          <w:spacing w:val="40"/>
        </w:rPr>
        <w:t> </w:t>
      </w:r>
      <w:r>
        <w:rPr/>
        <w:t>decreased</w:t>
      </w:r>
      <w:r>
        <w:rPr>
          <w:spacing w:val="40"/>
        </w:rPr>
        <w:t> </w:t>
      </w:r>
      <w:r>
        <w:rPr/>
        <w:t>TLs</w:t>
      </w:r>
      <w:r>
        <w:rPr>
          <w:spacing w:val="40"/>
        </w:rPr>
        <w:t> </w:t>
      </w:r>
      <w:r>
        <w:rPr/>
        <w:t>on</w:t>
      </w:r>
      <w:r>
        <w:rPr>
          <w:spacing w:val="39"/>
        </w:rPr>
        <w:t> </w:t>
      </w:r>
      <w:r>
        <w:rPr/>
        <w:t>the</w:t>
      </w:r>
      <w:r>
        <w:rPr>
          <w:spacing w:val="40"/>
        </w:rPr>
        <w:t> </w:t>
      </w:r>
      <w:r>
        <w:rPr/>
        <w:t>second</w:t>
      </w:r>
      <w:r>
        <w:rPr>
          <w:spacing w:val="40"/>
        </w:rPr>
        <w:t> </w:t>
      </w:r>
      <w:r>
        <w:rPr/>
        <w:t>day task</w:t>
      </w:r>
      <w:r>
        <w:rPr>
          <w:spacing w:val="34"/>
        </w:rPr>
        <w:t> </w:t>
      </w:r>
      <w:r>
        <w:rPr/>
        <w:t>when</w:t>
      </w:r>
      <w:r>
        <w:rPr>
          <w:spacing w:val="34"/>
        </w:rPr>
        <w:t> </w:t>
      </w:r>
      <w:r>
        <w:rPr/>
        <w:t>compared</w:t>
      </w:r>
      <w:r>
        <w:rPr>
          <w:spacing w:val="40"/>
        </w:rPr>
        <w:t> </w:t>
      </w:r>
      <w:r>
        <w:rPr/>
        <w:t>to</w:t>
      </w:r>
      <w:r>
        <w:rPr>
          <w:spacing w:val="40"/>
        </w:rPr>
        <w:t> </w:t>
      </w:r>
      <w:r>
        <w:rPr/>
        <w:t>the</w:t>
      </w:r>
      <w:r>
        <w:rPr>
          <w:spacing w:val="40"/>
        </w:rPr>
        <w:t> </w:t>
      </w:r>
      <w:r>
        <w:rPr/>
        <w:t>first</w:t>
      </w:r>
      <w:r>
        <w:rPr>
          <w:spacing w:val="40"/>
        </w:rPr>
        <w:t> </w:t>
      </w:r>
      <w:r>
        <w:rPr/>
        <w:t>day. This</w:t>
      </w:r>
      <w:r>
        <w:rPr>
          <w:spacing w:val="40"/>
        </w:rPr>
        <w:t> </w:t>
      </w:r>
      <w:r>
        <w:rPr/>
        <w:t>is</w:t>
      </w:r>
      <w:r>
        <w:rPr>
          <w:spacing w:val="40"/>
        </w:rPr>
        <w:t> </w:t>
      </w:r>
      <w:r>
        <w:rPr/>
        <w:t>because</w:t>
      </w:r>
      <w:r>
        <w:rPr>
          <w:spacing w:val="40"/>
        </w:rPr>
        <w:t> </w:t>
      </w:r>
      <w:r>
        <w:rPr/>
        <w:t>the animal should</w:t>
      </w:r>
      <w:r>
        <w:rPr>
          <w:spacing w:val="40"/>
        </w:rPr>
        <w:t> </w:t>
      </w:r>
      <w:r>
        <w:rPr/>
        <w:t>normally be able to</w:t>
      </w:r>
      <w:r>
        <w:rPr>
          <w:spacing w:val="40"/>
        </w:rPr>
        <w:t> </w:t>
      </w:r>
      <w:r>
        <w:rPr/>
        <w:t>easily recall the acquired behaviour.</w:t>
      </w:r>
      <w:r>
        <w:rPr>
          <w:spacing w:val="40"/>
        </w:rPr>
        <w:t> </w:t>
      </w:r>
      <w:r>
        <w:rPr/>
        <w:t>So</w:t>
      </w:r>
      <w:r>
        <w:rPr>
          <w:spacing w:val="40"/>
        </w:rPr>
        <w:t> </w:t>
      </w:r>
      <w:r>
        <w:rPr/>
        <w:t>when</w:t>
      </w:r>
      <w:r>
        <w:rPr>
          <w:spacing w:val="34"/>
        </w:rPr>
        <w:t> </w:t>
      </w:r>
      <w:r>
        <w:rPr/>
        <w:t>Day-1</w:t>
      </w:r>
      <w:r>
        <w:rPr>
          <w:spacing w:val="40"/>
        </w:rPr>
        <w:t> </w:t>
      </w:r>
      <w:r>
        <w:rPr/>
        <w:t>was</w:t>
      </w:r>
      <w:r>
        <w:rPr>
          <w:spacing w:val="40"/>
        </w:rPr>
        <w:t> </w:t>
      </w:r>
      <w:r>
        <w:rPr/>
        <w:t>compared</w:t>
      </w:r>
      <w:r>
        <w:rPr>
          <w:spacing w:val="40"/>
        </w:rPr>
        <w:t> </w:t>
      </w:r>
      <w:r>
        <w:rPr/>
        <w:t>with</w:t>
      </w:r>
      <w:r>
        <w:rPr>
          <w:spacing w:val="40"/>
        </w:rPr>
        <w:t> </w:t>
      </w:r>
      <w:r>
        <w:rPr/>
        <w:t>Day-2</w:t>
      </w:r>
      <w:r>
        <w:rPr>
          <w:spacing w:val="39"/>
        </w:rPr>
        <w:t> </w:t>
      </w:r>
      <w:r>
        <w:rPr/>
        <w:t>of</w:t>
      </w:r>
      <w:r>
        <w:rPr>
          <w:spacing w:val="33"/>
        </w:rPr>
        <w:t> </w:t>
      </w:r>
      <w:r>
        <w:rPr/>
        <w:t>the</w:t>
      </w:r>
      <w:r>
        <w:rPr>
          <w:spacing w:val="40"/>
        </w:rPr>
        <w:t> </w:t>
      </w:r>
      <w:r>
        <w:rPr/>
        <w:t>control</w:t>
      </w:r>
      <w:r>
        <w:rPr>
          <w:spacing w:val="36"/>
        </w:rPr>
        <w:t> </w:t>
      </w:r>
      <w:r>
        <w:rPr/>
        <w:t>group,</w:t>
      </w:r>
      <w:r>
        <w:rPr>
          <w:spacing w:val="37"/>
        </w:rPr>
        <w:t> </w:t>
      </w:r>
      <w:r>
        <w:rPr/>
        <w:t>the</w:t>
      </w:r>
      <w:r>
        <w:rPr>
          <w:spacing w:val="37"/>
        </w:rPr>
        <w:t> </w:t>
      </w:r>
      <w:r>
        <w:rPr/>
        <w:t>mean TLs were found</w:t>
      </w:r>
      <w:r>
        <w:rPr>
          <w:spacing w:val="39"/>
        </w:rPr>
        <w:t> </w:t>
      </w:r>
      <w:r>
        <w:rPr/>
        <w:t>to</w:t>
      </w:r>
      <w:r>
        <w:rPr>
          <w:spacing w:val="39"/>
        </w:rPr>
        <w:t> </w:t>
      </w:r>
      <w:r>
        <w:rPr/>
        <w:t>be lower</w:t>
      </w:r>
      <w:r>
        <w:rPr>
          <w:spacing w:val="39"/>
        </w:rPr>
        <w:t> </w:t>
      </w:r>
      <w:r>
        <w:rPr/>
        <w:t>in</w:t>
      </w:r>
      <w:r>
        <w:rPr>
          <w:spacing w:val="39"/>
        </w:rPr>
        <w:t> </w:t>
      </w:r>
      <w:r>
        <w:rPr/>
        <w:t>the second</w:t>
      </w:r>
      <w:r>
        <w:rPr>
          <w:spacing w:val="39"/>
        </w:rPr>
        <w:t> </w:t>
      </w:r>
      <w:r>
        <w:rPr/>
        <w:t>days. Meaning there was no</w:t>
      </w:r>
      <w:r>
        <w:rPr>
          <w:spacing w:val="39"/>
        </w:rPr>
        <w:t> </w:t>
      </w:r>
      <w:r>
        <w:rPr/>
        <w:t>affectation of either the ability to learn or to recall the learned behaviour. The finding proved the expected normality that should be recorded in the control group as opposed to impaired behaviour of the experimental groups.</w:t>
      </w:r>
    </w:p>
    <w:p>
      <w:pPr>
        <w:pStyle w:val="BodyText"/>
      </w:pPr>
    </w:p>
    <w:p>
      <w:pPr>
        <w:pStyle w:val="BodyText"/>
        <w:spacing w:before="18"/>
      </w:pPr>
    </w:p>
    <w:p>
      <w:pPr>
        <w:pStyle w:val="Heading3"/>
        <w:numPr>
          <w:ilvl w:val="2"/>
          <w:numId w:val="27"/>
        </w:numPr>
        <w:tabs>
          <w:tab w:pos="1171" w:val="left" w:leader="none"/>
        </w:tabs>
        <w:spacing w:line="240" w:lineRule="auto" w:before="1" w:after="0"/>
        <w:ind w:left="1171" w:right="0" w:hanging="506"/>
        <w:jc w:val="left"/>
      </w:pPr>
      <w:bookmarkStart w:name="_TOC_250009" w:id="48"/>
      <w:bookmarkEnd w:id="48"/>
      <w:r>
        <w:rPr>
          <w:spacing w:val="-2"/>
        </w:rPr>
        <w:t>Learning/acquisition</w:t>
      </w:r>
    </w:p>
    <w:p>
      <w:pPr>
        <w:pStyle w:val="BodyText"/>
        <w:spacing w:before="7"/>
        <w:rPr>
          <w:b/>
        </w:rPr>
      </w:pPr>
    </w:p>
    <w:p>
      <w:pPr>
        <w:pStyle w:val="BodyText"/>
        <w:spacing w:line="491" w:lineRule="auto"/>
        <w:ind w:left="665" w:right="894"/>
        <w:jc w:val="both"/>
      </w:pPr>
      <w:r>
        <w:rPr/>
        <w:t>In this study, there was significant reduction rather than increase in the mean TL of the experimental</w:t>
      </w:r>
      <w:r>
        <w:rPr>
          <w:spacing w:val="31"/>
        </w:rPr>
        <w:t> </w:t>
      </w:r>
      <w:r>
        <w:rPr/>
        <w:t>group during the 30 minutes CO exposure in Day-1. It</w:t>
      </w:r>
      <w:r>
        <w:rPr>
          <w:spacing w:val="31"/>
        </w:rPr>
        <w:t> </w:t>
      </w:r>
      <w:r>
        <w:rPr/>
        <w:t>was proper to</w:t>
      </w:r>
      <w:r>
        <w:rPr>
          <w:spacing w:val="34"/>
        </w:rPr>
        <w:t> </w:t>
      </w:r>
      <w:r>
        <w:rPr/>
        <w:t>say that</w:t>
      </w:r>
      <w:r>
        <w:rPr>
          <w:spacing w:val="37"/>
        </w:rPr>
        <w:t> </w:t>
      </w:r>
      <w:r>
        <w:rPr/>
        <w:t>30</w:t>
      </w:r>
      <w:r>
        <w:rPr>
          <w:spacing w:val="39"/>
        </w:rPr>
        <w:t> </w:t>
      </w:r>
      <w:r>
        <w:rPr/>
        <w:t>minutes</w:t>
      </w:r>
      <w:r>
        <w:rPr>
          <w:spacing w:val="36"/>
        </w:rPr>
        <w:t> </w:t>
      </w:r>
      <w:r>
        <w:rPr/>
        <w:t>partial</w:t>
      </w:r>
      <w:r>
        <w:rPr>
          <w:spacing w:val="37"/>
        </w:rPr>
        <w:t> </w:t>
      </w:r>
      <w:r>
        <w:rPr/>
        <w:t>exposure</w:t>
      </w:r>
      <w:r>
        <w:rPr>
          <w:spacing w:val="32"/>
        </w:rPr>
        <w:t> </w:t>
      </w:r>
      <w:r>
        <w:rPr/>
        <w:t>to</w:t>
      </w:r>
      <w:r>
        <w:rPr>
          <w:spacing w:val="40"/>
        </w:rPr>
        <w:t> </w:t>
      </w:r>
      <w:r>
        <w:rPr/>
        <w:t>CO</w:t>
      </w:r>
      <w:r>
        <w:rPr>
          <w:spacing w:val="37"/>
        </w:rPr>
        <w:t> </w:t>
      </w:r>
      <w:r>
        <w:rPr/>
        <w:t>at</w:t>
      </w:r>
      <w:r>
        <w:rPr>
          <w:spacing w:val="37"/>
        </w:rPr>
        <w:t> </w:t>
      </w:r>
      <w:r>
        <w:rPr/>
        <w:t>concentration</w:t>
      </w:r>
      <w:r>
        <w:rPr>
          <w:spacing w:val="35"/>
        </w:rPr>
        <w:t> </w:t>
      </w:r>
      <w:r>
        <w:rPr/>
        <w:t>ranging</w:t>
      </w:r>
      <w:r>
        <w:rPr>
          <w:spacing w:val="35"/>
        </w:rPr>
        <w:t> </w:t>
      </w:r>
      <w:r>
        <w:rPr/>
        <w:t>from</w:t>
      </w:r>
      <w:r>
        <w:rPr>
          <w:spacing w:val="39"/>
        </w:rPr>
        <w:t> </w:t>
      </w:r>
      <w:r>
        <w:rPr/>
        <w:t>100</w:t>
      </w:r>
      <w:r>
        <w:rPr>
          <w:spacing w:val="40"/>
        </w:rPr>
        <w:t> </w:t>
      </w:r>
      <w:r>
        <w:rPr/>
        <w:t>-</w:t>
      </w:r>
      <w:r>
        <w:rPr>
          <w:spacing w:val="34"/>
        </w:rPr>
        <w:t> </w:t>
      </w:r>
      <w:r>
        <w:rPr/>
        <w:t>150</w:t>
      </w:r>
      <w:r>
        <w:rPr>
          <w:spacing w:val="39"/>
        </w:rPr>
        <w:t> </w:t>
      </w:r>
      <w:r>
        <w:rPr/>
        <w:t>ppm may enhance the ability of</w:t>
      </w:r>
      <w:r>
        <w:rPr>
          <w:spacing w:val="32"/>
        </w:rPr>
        <w:t> </w:t>
      </w:r>
      <w:r>
        <w:rPr/>
        <w:t>mice to</w:t>
      </w:r>
      <w:r>
        <w:rPr>
          <w:spacing w:val="40"/>
        </w:rPr>
        <w:t> </w:t>
      </w:r>
      <w:r>
        <w:rPr/>
        <w:t>learn</w:t>
      </w:r>
      <w:r>
        <w:rPr>
          <w:spacing w:val="39"/>
        </w:rPr>
        <w:t> </w:t>
      </w:r>
      <w:r>
        <w:rPr/>
        <w:t>new</w:t>
      </w:r>
      <w:r>
        <w:rPr>
          <w:spacing w:val="38"/>
        </w:rPr>
        <w:t> </w:t>
      </w:r>
      <w:r>
        <w:rPr/>
        <w:t>behaviour. This</w:t>
      </w:r>
      <w:r>
        <w:rPr>
          <w:spacing w:val="35"/>
        </w:rPr>
        <w:t> </w:t>
      </w:r>
      <w:r>
        <w:rPr/>
        <w:t>finding</w:t>
      </w:r>
      <w:r>
        <w:rPr>
          <w:spacing w:val="34"/>
        </w:rPr>
        <w:t> </w:t>
      </w:r>
      <w:r>
        <w:rPr/>
        <w:t>is</w:t>
      </w:r>
      <w:r>
        <w:rPr>
          <w:spacing w:val="40"/>
        </w:rPr>
        <w:t> </w:t>
      </w:r>
      <w:r>
        <w:rPr/>
        <w:t>in agreement with recent findings which suggest CO, together with NO acting as gaso-transmitters in</w:t>
      </w:r>
      <w:r>
        <w:rPr>
          <w:spacing w:val="40"/>
        </w:rPr>
        <w:t> </w:t>
      </w:r>
      <w:r>
        <w:rPr/>
        <w:t>the</w:t>
      </w:r>
      <w:r>
        <w:rPr>
          <w:spacing w:val="41"/>
        </w:rPr>
        <w:t> </w:t>
      </w:r>
      <w:r>
        <w:rPr/>
        <w:t>CNS</w:t>
      </w:r>
      <w:r>
        <w:rPr>
          <w:spacing w:val="46"/>
        </w:rPr>
        <w:t> </w:t>
      </w:r>
      <w:r>
        <w:rPr/>
        <w:t>at</w:t>
      </w:r>
      <w:r>
        <w:rPr>
          <w:spacing w:val="47"/>
        </w:rPr>
        <w:t> </w:t>
      </w:r>
      <w:r>
        <w:rPr/>
        <w:t>physiological</w:t>
      </w:r>
      <w:r>
        <w:rPr>
          <w:spacing w:val="42"/>
        </w:rPr>
        <w:t> </w:t>
      </w:r>
      <w:r>
        <w:rPr/>
        <w:t>concentrations</w:t>
      </w:r>
      <w:r>
        <w:rPr>
          <w:spacing w:val="46"/>
        </w:rPr>
        <w:t> </w:t>
      </w:r>
      <w:r>
        <w:rPr/>
        <w:t>in</w:t>
      </w:r>
      <w:r>
        <w:rPr>
          <w:spacing w:val="40"/>
        </w:rPr>
        <w:t> </w:t>
      </w:r>
      <w:r>
        <w:rPr/>
        <w:t>the</w:t>
      </w:r>
      <w:r>
        <w:rPr>
          <w:spacing w:val="47"/>
        </w:rPr>
        <w:t> </w:t>
      </w:r>
      <w:r>
        <w:rPr/>
        <w:t>body</w:t>
      </w:r>
      <w:r>
        <w:rPr>
          <w:spacing w:val="28"/>
        </w:rPr>
        <w:t> </w:t>
      </w:r>
      <w:r>
        <w:rPr/>
        <w:t>(Boeihning</w:t>
      </w:r>
      <w:r>
        <w:rPr>
          <w:spacing w:val="46"/>
        </w:rPr>
        <w:t> </w:t>
      </w:r>
      <w:r>
        <w:rPr>
          <w:i/>
        </w:rPr>
        <w:t>et</w:t>
      </w:r>
      <w:r>
        <w:rPr>
          <w:i/>
          <w:spacing w:val="46"/>
        </w:rPr>
        <w:t> </w:t>
      </w:r>
      <w:r>
        <w:rPr>
          <w:i/>
        </w:rPr>
        <w:t>al</w:t>
      </w:r>
      <w:r>
        <w:rPr/>
        <w:t>.,</w:t>
      </w:r>
      <w:r>
        <w:rPr>
          <w:spacing w:val="43"/>
        </w:rPr>
        <w:t> </w:t>
      </w:r>
      <w:r>
        <w:rPr/>
        <w:t>2003);</w:t>
      </w:r>
      <w:r>
        <w:rPr>
          <w:spacing w:val="47"/>
        </w:rPr>
        <w:t> </w:t>
      </w:r>
      <w:r>
        <w:rPr/>
        <w:t>as</w:t>
      </w:r>
      <w:r>
        <w:rPr>
          <w:spacing w:val="46"/>
        </w:rPr>
        <w:t> </w:t>
      </w:r>
      <w:r>
        <w:rPr>
          <w:spacing w:val="-5"/>
        </w:rPr>
        <w:t>the</w:t>
      </w:r>
    </w:p>
    <w:p>
      <w:pPr>
        <w:spacing w:after="0" w:line="491" w:lineRule="auto"/>
        <w:jc w:val="both"/>
        <w:sectPr>
          <w:pgSz w:w="12240" w:h="15840"/>
          <w:pgMar w:header="0" w:footer="916" w:top="1260" w:bottom="1100" w:left="1720" w:right="960"/>
        </w:sectPr>
      </w:pPr>
    </w:p>
    <w:p>
      <w:pPr>
        <w:pStyle w:val="BodyText"/>
        <w:spacing w:line="491" w:lineRule="auto" w:before="75"/>
        <w:ind w:left="665" w:right="899"/>
        <w:jc w:val="both"/>
      </w:pPr>
      <w:r>
        <w:rPr/>
        <w:t>exposure increased, poisoning results (Mannoin </w:t>
      </w:r>
      <w:r>
        <w:rPr>
          <w:i/>
        </w:rPr>
        <w:t>et al</w:t>
      </w:r>
      <w:r>
        <w:rPr/>
        <w:t>., 2006). Even though the WHO recommended</w:t>
      </w:r>
      <w:r>
        <w:rPr>
          <w:spacing w:val="37"/>
        </w:rPr>
        <w:t> </w:t>
      </w:r>
      <w:r>
        <w:rPr/>
        <w:t>level of exposure is &lt;</w:t>
      </w:r>
      <w:r>
        <w:rPr>
          <w:spacing w:val="38"/>
        </w:rPr>
        <w:t> </w:t>
      </w:r>
      <w:r>
        <w:rPr/>
        <w:t>100 ppm, exposure to</w:t>
      </w:r>
      <w:r>
        <w:rPr>
          <w:spacing w:val="40"/>
        </w:rPr>
        <w:t> </w:t>
      </w:r>
      <w:r>
        <w:rPr/>
        <w:t>50</w:t>
      </w:r>
      <w:r>
        <w:rPr>
          <w:spacing w:val="40"/>
        </w:rPr>
        <w:t> </w:t>
      </w:r>
      <w:r>
        <w:rPr/>
        <w:t>- 100</w:t>
      </w:r>
      <w:r>
        <w:rPr>
          <w:spacing w:val="37"/>
        </w:rPr>
        <w:t> </w:t>
      </w:r>
      <w:r>
        <w:rPr/>
        <w:t>ppm of CO was found</w:t>
      </w:r>
      <w:r>
        <w:rPr>
          <w:spacing w:val="40"/>
        </w:rPr>
        <w:t> </w:t>
      </w:r>
      <w:r>
        <w:rPr/>
        <w:t>to</w:t>
      </w:r>
      <w:r>
        <w:rPr>
          <w:spacing w:val="40"/>
        </w:rPr>
        <w:t> </w:t>
      </w:r>
      <w:r>
        <w:rPr/>
        <w:t>increase Hydrogen peroxide (H</w:t>
      </w:r>
      <w:r>
        <w:rPr>
          <w:vertAlign w:val="subscript"/>
        </w:rPr>
        <w:t>2</w:t>
      </w:r>
      <w:r>
        <w:rPr>
          <w:vertAlign w:val="baseline"/>
        </w:rPr>
        <w:t>O</w:t>
      </w:r>
      <w:r>
        <w:rPr>
          <w:vertAlign w:val="subscript"/>
        </w:rPr>
        <w:t>2</w:t>
      </w:r>
      <w:r>
        <w:rPr>
          <w:vertAlign w:val="baseline"/>
        </w:rPr>
        <w:t>) production in the</w:t>
      </w:r>
      <w:r>
        <w:rPr>
          <w:spacing w:val="40"/>
          <w:vertAlign w:val="baseline"/>
        </w:rPr>
        <w:t> </w:t>
      </w:r>
      <w:r>
        <w:rPr>
          <w:vertAlign w:val="baseline"/>
        </w:rPr>
        <w:t>lungs of rat, a phenomenon which depended on •NO production (Thom </w:t>
      </w:r>
      <w:r>
        <w:rPr>
          <w:i/>
          <w:vertAlign w:val="baseline"/>
        </w:rPr>
        <w:t>et al</w:t>
      </w:r>
      <w:r>
        <w:rPr>
          <w:vertAlign w:val="baseline"/>
        </w:rPr>
        <w:t>., 1999). The possible explanation</w:t>
      </w:r>
      <w:r>
        <w:rPr>
          <w:spacing w:val="40"/>
          <w:vertAlign w:val="baseline"/>
        </w:rPr>
        <w:t> </w:t>
      </w:r>
      <w:r>
        <w:rPr>
          <w:vertAlign w:val="baseline"/>
        </w:rPr>
        <w:t>to</w:t>
      </w:r>
      <w:r>
        <w:rPr>
          <w:spacing w:val="40"/>
          <w:vertAlign w:val="baseline"/>
        </w:rPr>
        <w:t> </w:t>
      </w:r>
      <w:r>
        <w:rPr>
          <w:vertAlign w:val="baseline"/>
        </w:rPr>
        <w:t>the</w:t>
      </w:r>
      <w:r>
        <w:rPr>
          <w:spacing w:val="40"/>
          <w:vertAlign w:val="baseline"/>
        </w:rPr>
        <w:t> </w:t>
      </w:r>
      <w:r>
        <w:rPr>
          <w:vertAlign w:val="baseline"/>
        </w:rPr>
        <w:t>enhanced</w:t>
      </w:r>
      <w:r>
        <w:rPr>
          <w:spacing w:val="40"/>
          <w:vertAlign w:val="baseline"/>
        </w:rPr>
        <w:t> </w:t>
      </w:r>
      <w:r>
        <w:rPr>
          <w:vertAlign w:val="baseline"/>
        </w:rPr>
        <w:t>H</w:t>
      </w:r>
      <w:r>
        <w:rPr>
          <w:vertAlign w:val="subscript"/>
        </w:rPr>
        <w:t>2</w:t>
      </w:r>
      <w:r>
        <w:rPr>
          <w:vertAlign w:val="baseline"/>
        </w:rPr>
        <w:t>O</w:t>
      </w:r>
      <w:r>
        <w:rPr>
          <w:vertAlign w:val="subscript"/>
        </w:rPr>
        <w:t>2</w:t>
      </w:r>
      <w:r>
        <w:rPr>
          <w:spacing w:val="40"/>
          <w:vertAlign w:val="baseline"/>
        </w:rPr>
        <w:t> </w:t>
      </w:r>
      <w:r>
        <w:rPr>
          <w:vertAlign w:val="baseline"/>
        </w:rPr>
        <w:t>production</w:t>
      </w:r>
      <w:r>
        <w:rPr>
          <w:spacing w:val="40"/>
          <w:vertAlign w:val="baseline"/>
        </w:rPr>
        <w:t> </w:t>
      </w:r>
      <w:r>
        <w:rPr>
          <w:vertAlign w:val="baseline"/>
        </w:rPr>
        <w:t>is</w:t>
      </w:r>
      <w:r>
        <w:rPr>
          <w:spacing w:val="40"/>
          <w:vertAlign w:val="baseline"/>
        </w:rPr>
        <w:t> </w:t>
      </w:r>
      <w:r>
        <w:rPr>
          <w:vertAlign w:val="baseline"/>
        </w:rPr>
        <w:t>by disturbance</w:t>
      </w:r>
      <w:r>
        <w:rPr>
          <w:spacing w:val="40"/>
          <w:vertAlign w:val="baseline"/>
        </w:rPr>
        <w:t> </w:t>
      </w:r>
      <w:r>
        <w:rPr>
          <w:vertAlign w:val="baseline"/>
        </w:rPr>
        <w:t>of</w:t>
      </w:r>
      <w:r>
        <w:rPr>
          <w:spacing w:val="40"/>
          <w:vertAlign w:val="baseline"/>
        </w:rPr>
        <w:t> </w:t>
      </w:r>
      <w:r>
        <w:rPr>
          <w:vertAlign w:val="baseline"/>
        </w:rPr>
        <w:t>mitochondrial function;</w:t>
      </w:r>
      <w:r>
        <w:rPr>
          <w:spacing w:val="28"/>
          <w:vertAlign w:val="baseline"/>
        </w:rPr>
        <w:t> </w:t>
      </w:r>
      <w:r>
        <w:rPr>
          <w:vertAlign w:val="baseline"/>
        </w:rPr>
        <w:t>where</w:t>
      </w:r>
      <w:r>
        <w:rPr>
          <w:spacing w:val="19"/>
          <w:vertAlign w:val="baseline"/>
        </w:rPr>
        <w:t> </w:t>
      </w:r>
      <w:r>
        <w:rPr>
          <w:vertAlign w:val="baseline"/>
        </w:rPr>
        <w:t>Peroxynitrite</w:t>
      </w:r>
      <w:r>
        <w:rPr>
          <w:spacing w:val="30"/>
          <w:vertAlign w:val="baseline"/>
        </w:rPr>
        <w:t> </w:t>
      </w:r>
      <w:r>
        <w:rPr>
          <w:vertAlign w:val="baseline"/>
        </w:rPr>
        <w:t>inhibits</w:t>
      </w:r>
      <w:r>
        <w:rPr>
          <w:spacing w:val="21"/>
          <w:vertAlign w:val="baseline"/>
        </w:rPr>
        <w:t> </w:t>
      </w:r>
      <w:r>
        <w:rPr>
          <w:vertAlign w:val="baseline"/>
        </w:rPr>
        <w:t>electron</w:t>
      </w:r>
      <w:r>
        <w:rPr>
          <w:spacing w:val="15"/>
          <w:vertAlign w:val="baseline"/>
        </w:rPr>
        <w:t> </w:t>
      </w:r>
      <w:r>
        <w:rPr>
          <w:vertAlign w:val="baseline"/>
        </w:rPr>
        <w:t>transport</w:t>
      </w:r>
      <w:r>
        <w:rPr>
          <w:spacing w:val="28"/>
          <w:vertAlign w:val="baseline"/>
        </w:rPr>
        <w:t> </w:t>
      </w:r>
      <w:r>
        <w:rPr>
          <w:vertAlign w:val="baseline"/>
        </w:rPr>
        <w:t>at</w:t>
      </w:r>
      <w:r>
        <w:rPr>
          <w:spacing w:val="28"/>
          <w:vertAlign w:val="baseline"/>
        </w:rPr>
        <w:t> </w:t>
      </w:r>
      <w:r>
        <w:rPr>
          <w:vertAlign w:val="baseline"/>
        </w:rPr>
        <w:t>complexes</w:t>
      </w:r>
      <w:r>
        <w:rPr>
          <w:spacing w:val="27"/>
          <w:vertAlign w:val="baseline"/>
        </w:rPr>
        <w:t> </w:t>
      </w:r>
      <w:r>
        <w:rPr>
          <w:vertAlign w:val="baseline"/>
        </w:rPr>
        <w:t>I</w:t>
      </w:r>
      <w:r>
        <w:rPr>
          <w:spacing w:val="20"/>
          <w:vertAlign w:val="baseline"/>
        </w:rPr>
        <w:t> </w:t>
      </w:r>
      <w:r>
        <w:rPr>
          <w:vertAlign w:val="baseline"/>
        </w:rPr>
        <w:t>through</w:t>
      </w:r>
      <w:r>
        <w:rPr>
          <w:spacing w:val="21"/>
          <w:vertAlign w:val="baseline"/>
        </w:rPr>
        <w:t> </w:t>
      </w:r>
      <w:r>
        <w:rPr>
          <w:vertAlign w:val="baseline"/>
        </w:rPr>
        <w:t>III,</w:t>
      </w:r>
      <w:r>
        <w:rPr>
          <w:spacing w:val="25"/>
          <w:vertAlign w:val="baseline"/>
        </w:rPr>
        <w:t> </w:t>
      </w:r>
      <w:r>
        <w:rPr>
          <w:vertAlign w:val="baseline"/>
        </w:rPr>
        <w:t>and a •NO targeted cytochrome oxidase (Cassina </w:t>
      </w:r>
      <w:r>
        <w:rPr>
          <w:i/>
          <w:vertAlign w:val="baseline"/>
        </w:rPr>
        <w:t>et al</w:t>
      </w:r>
      <w:r>
        <w:rPr>
          <w:vertAlign w:val="baseline"/>
        </w:rPr>
        <w:t>., 1996; Lizasoain </w:t>
      </w:r>
      <w:r>
        <w:rPr>
          <w:i/>
          <w:vertAlign w:val="baseline"/>
        </w:rPr>
        <w:t>et al</w:t>
      </w:r>
      <w:r>
        <w:rPr>
          <w:vertAlign w:val="baseline"/>
        </w:rPr>
        <w:t>., 1996; and Poderoso </w:t>
      </w:r>
      <w:r>
        <w:rPr>
          <w:i/>
          <w:vertAlign w:val="baseline"/>
        </w:rPr>
        <w:t>et al</w:t>
      </w:r>
      <w:r>
        <w:rPr>
          <w:vertAlign w:val="baseline"/>
        </w:rPr>
        <w:t>., 1996).</w:t>
      </w:r>
    </w:p>
    <w:p>
      <w:pPr>
        <w:pStyle w:val="BodyText"/>
      </w:pPr>
    </w:p>
    <w:p>
      <w:pPr>
        <w:pStyle w:val="BodyText"/>
        <w:spacing w:before="11"/>
      </w:pPr>
    </w:p>
    <w:p>
      <w:pPr>
        <w:pStyle w:val="BodyText"/>
        <w:spacing w:line="491" w:lineRule="auto"/>
        <w:ind w:left="665" w:right="897"/>
        <w:jc w:val="both"/>
      </w:pPr>
      <w:r>
        <w:rPr/>
        <w:t>Previously, Karim </w:t>
      </w:r>
      <w:r>
        <w:rPr>
          <w:i/>
        </w:rPr>
        <w:t>et al</w:t>
      </w:r>
      <w:r>
        <w:rPr/>
        <w:t>. (2001) have established the role played by CO produced in the body as a retrograde synaptic messenger with a prominent position in the long-term potentiation</w:t>
      </w:r>
      <w:r>
        <w:rPr>
          <w:spacing w:val="40"/>
        </w:rPr>
        <w:t> </w:t>
      </w:r>
      <w:r>
        <w:rPr/>
        <w:t>(LTP)</w:t>
      </w:r>
      <w:r>
        <w:rPr>
          <w:spacing w:val="40"/>
        </w:rPr>
        <w:t> </w:t>
      </w:r>
      <w:r>
        <w:rPr/>
        <w:t>of</w:t>
      </w:r>
      <w:r>
        <w:rPr>
          <w:spacing w:val="40"/>
        </w:rPr>
        <w:t> </w:t>
      </w:r>
      <w:r>
        <w:rPr/>
        <w:t>certain</w:t>
      </w:r>
      <w:r>
        <w:rPr>
          <w:spacing w:val="40"/>
        </w:rPr>
        <w:t> </w:t>
      </w:r>
      <w:r>
        <w:rPr/>
        <w:t>areas</w:t>
      </w:r>
      <w:r>
        <w:rPr>
          <w:spacing w:val="40"/>
        </w:rPr>
        <w:t> </w:t>
      </w:r>
      <w:r>
        <w:rPr/>
        <w:t>of</w:t>
      </w:r>
      <w:r>
        <w:rPr>
          <w:spacing w:val="40"/>
        </w:rPr>
        <w:t> </w:t>
      </w:r>
      <w:r>
        <w:rPr/>
        <w:t>the</w:t>
      </w:r>
      <w:r>
        <w:rPr>
          <w:spacing w:val="40"/>
        </w:rPr>
        <w:t> </w:t>
      </w:r>
      <w:r>
        <w:rPr/>
        <w:t>brain.</w:t>
      </w:r>
      <w:r>
        <w:rPr>
          <w:spacing w:val="40"/>
        </w:rPr>
        <w:t> </w:t>
      </w:r>
      <w:r>
        <w:rPr/>
        <w:t>In</w:t>
      </w:r>
      <w:r>
        <w:rPr>
          <w:spacing w:val="40"/>
        </w:rPr>
        <w:t> </w:t>
      </w:r>
      <w:r>
        <w:rPr/>
        <w:t>a</w:t>
      </w:r>
      <w:r>
        <w:rPr>
          <w:spacing w:val="40"/>
        </w:rPr>
        <w:t> </w:t>
      </w:r>
      <w:r>
        <w:rPr/>
        <w:t>similar</w:t>
      </w:r>
      <w:r>
        <w:rPr>
          <w:spacing w:val="40"/>
        </w:rPr>
        <w:t> </w:t>
      </w:r>
      <w:r>
        <w:rPr/>
        <w:t>study</w:t>
      </w:r>
      <w:r>
        <w:rPr>
          <w:spacing w:val="33"/>
        </w:rPr>
        <w:t> </w:t>
      </w:r>
      <w:r>
        <w:rPr/>
        <w:t>also</w:t>
      </w:r>
      <w:r>
        <w:rPr>
          <w:spacing w:val="40"/>
        </w:rPr>
        <w:t> </w:t>
      </w:r>
      <w:r>
        <w:rPr/>
        <w:t>CO</w:t>
      </w:r>
      <w:r>
        <w:rPr>
          <w:spacing w:val="40"/>
        </w:rPr>
        <w:t> </w:t>
      </w:r>
      <w:r>
        <w:rPr/>
        <w:t>produce long-term enhancement when paired with low-frequency stimulation and results were found to be consistent with the hypothesis that NO and CO, either alone or in</w:t>
      </w:r>
      <w:r>
        <w:rPr>
          <w:spacing w:val="40"/>
        </w:rPr>
        <w:t> </w:t>
      </w:r>
      <w:r>
        <w:rPr/>
        <w:t>combination,</w:t>
      </w:r>
      <w:r>
        <w:rPr>
          <w:spacing w:val="40"/>
        </w:rPr>
        <w:t> </w:t>
      </w:r>
      <w:r>
        <w:rPr/>
        <w:t>serve</w:t>
      </w:r>
      <w:r>
        <w:rPr>
          <w:spacing w:val="40"/>
        </w:rPr>
        <w:t> </w:t>
      </w:r>
      <w:r>
        <w:rPr/>
        <w:t>as</w:t>
      </w:r>
      <w:r>
        <w:rPr>
          <w:spacing w:val="40"/>
        </w:rPr>
        <w:t> </w:t>
      </w:r>
      <w:r>
        <w:rPr/>
        <w:t>retrograde</w:t>
      </w:r>
      <w:r>
        <w:rPr>
          <w:spacing w:val="40"/>
        </w:rPr>
        <w:t> </w:t>
      </w:r>
      <w:r>
        <w:rPr/>
        <w:t>messengers</w:t>
      </w:r>
      <w:r>
        <w:rPr>
          <w:spacing w:val="40"/>
        </w:rPr>
        <w:t> </w:t>
      </w:r>
      <w:r>
        <w:rPr/>
        <w:t>that</w:t>
      </w:r>
      <w:r>
        <w:rPr>
          <w:spacing w:val="40"/>
        </w:rPr>
        <w:t> </w:t>
      </w:r>
      <w:r>
        <w:rPr/>
        <w:t>produce</w:t>
      </w:r>
      <w:r>
        <w:rPr>
          <w:spacing w:val="40"/>
        </w:rPr>
        <w:t> </w:t>
      </w:r>
      <w:r>
        <w:rPr/>
        <w:t>activity-dependent presynaptic enhancement during LTP (Zhuo </w:t>
      </w:r>
      <w:r>
        <w:rPr>
          <w:i/>
        </w:rPr>
        <w:t>et al</w:t>
      </w:r>
      <w:r>
        <w:rPr/>
        <w:t>., 1993; Hawkins </w:t>
      </w:r>
      <w:r>
        <w:rPr>
          <w:i/>
        </w:rPr>
        <w:t>et al</w:t>
      </w:r>
      <w:r>
        <w:rPr/>
        <w:t>., 1994). The possible mechanism proposed by Pineda </w:t>
      </w:r>
      <w:r>
        <w:rPr>
          <w:i/>
        </w:rPr>
        <w:t>et al</w:t>
      </w:r>
      <w:r>
        <w:rPr/>
        <w:t>. (1996) was that NO and CO activate noradrenergic neurones of Locus Coereleus (LC) via a cGMP-dependent protein kinase and a non-selective cationic channel. It was also proposed that these effects occur at the postsynaptic level and that there may be a tonic regulation of LC neuronal firing by the cGMP pathway.</w:t>
      </w:r>
    </w:p>
    <w:p>
      <w:pPr>
        <w:spacing w:after="0" w:line="491" w:lineRule="auto"/>
        <w:jc w:val="both"/>
        <w:sectPr>
          <w:pgSz w:w="12240" w:h="15840"/>
          <w:pgMar w:header="0" w:footer="916" w:top="1260" w:bottom="1100" w:left="1720" w:right="960"/>
        </w:sectPr>
      </w:pPr>
    </w:p>
    <w:p>
      <w:pPr>
        <w:pStyle w:val="Heading3"/>
        <w:numPr>
          <w:ilvl w:val="2"/>
          <w:numId w:val="27"/>
        </w:numPr>
        <w:tabs>
          <w:tab w:pos="1171" w:val="left" w:leader="none"/>
        </w:tabs>
        <w:spacing w:line="240" w:lineRule="auto" w:before="80" w:after="0"/>
        <w:ind w:left="1171" w:right="0" w:hanging="506"/>
        <w:jc w:val="left"/>
      </w:pPr>
      <w:bookmarkStart w:name="_TOC_250008" w:id="49"/>
      <w:bookmarkEnd w:id="49"/>
      <w:r>
        <w:rPr>
          <w:spacing w:val="-2"/>
        </w:rPr>
        <w:t>Memory/recall</w:t>
      </w:r>
    </w:p>
    <w:p>
      <w:pPr>
        <w:pStyle w:val="BodyText"/>
        <w:spacing w:before="7"/>
        <w:rPr>
          <w:b/>
        </w:rPr>
      </w:pPr>
    </w:p>
    <w:p>
      <w:pPr>
        <w:pStyle w:val="BodyText"/>
        <w:spacing w:line="491" w:lineRule="auto" w:before="1"/>
        <w:ind w:left="665" w:right="893"/>
        <w:jc w:val="both"/>
      </w:pPr>
      <w:r>
        <w:rPr/>
        <w:t>Increased deterioration of the recall capacity was found to be directly</w:t>
      </w:r>
      <w:r>
        <w:rPr>
          <w:spacing w:val="-1"/>
        </w:rPr>
        <w:t> </w:t>
      </w:r>
      <w:r>
        <w:rPr/>
        <w:t>proportional to the duration of CO exposure. Previous data suggested a specific toxicity of CO on memory functions</w:t>
      </w:r>
      <w:r>
        <w:rPr>
          <w:spacing w:val="40"/>
        </w:rPr>
        <w:t> </w:t>
      </w:r>
      <w:r>
        <w:rPr/>
        <w:t>in animals and</w:t>
      </w:r>
      <w:r>
        <w:rPr>
          <w:spacing w:val="40"/>
        </w:rPr>
        <w:t> </w:t>
      </w:r>
      <w:r>
        <w:rPr/>
        <w:t>also</w:t>
      </w:r>
      <w:r>
        <w:rPr>
          <w:spacing w:val="40"/>
        </w:rPr>
        <w:t> </w:t>
      </w:r>
      <w:r>
        <w:rPr/>
        <w:t>delayed</w:t>
      </w:r>
      <w:r>
        <w:rPr>
          <w:spacing w:val="40"/>
        </w:rPr>
        <w:t> </w:t>
      </w:r>
      <w:r>
        <w:rPr/>
        <w:t>neuronal</w:t>
      </w:r>
      <w:r>
        <w:rPr>
          <w:spacing w:val="40"/>
        </w:rPr>
        <w:t> </w:t>
      </w:r>
      <w:r>
        <w:rPr/>
        <w:t>death in areas</w:t>
      </w:r>
      <w:r>
        <w:rPr>
          <w:spacing w:val="40"/>
        </w:rPr>
        <w:t> </w:t>
      </w:r>
      <w:r>
        <w:rPr/>
        <w:t>involved</w:t>
      </w:r>
      <w:r>
        <w:rPr>
          <w:spacing w:val="40"/>
        </w:rPr>
        <w:t> </w:t>
      </w:r>
      <w:r>
        <w:rPr/>
        <w:t>in memory process (Piantadosi </w:t>
      </w:r>
      <w:r>
        <w:rPr>
          <w:i/>
        </w:rPr>
        <w:t>et al</w:t>
      </w:r>
      <w:r>
        <w:rPr/>
        <w:t>., 1997; Nabeshima </w:t>
      </w:r>
      <w:r>
        <w:rPr>
          <w:i/>
        </w:rPr>
        <w:t>et al</w:t>
      </w:r>
      <w:r>
        <w:rPr/>
        <w:t>., 1991). In another research, hypoxic ischaemia was found to cause damage and cell loss to the pyramidal cells in the CA1 region of the hippocampus. Equally Katoh </w:t>
      </w:r>
      <w:r>
        <w:rPr>
          <w:i/>
        </w:rPr>
        <w:t>et al</w:t>
      </w:r>
      <w:r>
        <w:rPr/>
        <w:t>. (1990) reported a 17% decrease in pyramidal cells in the CA1 region of mice, who received pure CO compared to normal controls. The findings here were in line with the above suggesting significant</w:t>
      </w:r>
      <w:r>
        <w:rPr>
          <w:spacing w:val="80"/>
        </w:rPr>
        <w:t> </w:t>
      </w:r>
      <w:r>
        <w:rPr/>
        <w:t>deterioration</w:t>
      </w:r>
      <w:r>
        <w:rPr>
          <w:spacing w:val="40"/>
        </w:rPr>
        <w:t> </w:t>
      </w:r>
      <w:r>
        <w:rPr/>
        <w:t>in</w:t>
      </w:r>
      <w:r>
        <w:rPr>
          <w:spacing w:val="40"/>
        </w:rPr>
        <w:t> </w:t>
      </w:r>
      <w:r>
        <w:rPr/>
        <w:t>learning/acquisition</w:t>
      </w:r>
      <w:r>
        <w:rPr>
          <w:spacing w:val="40"/>
        </w:rPr>
        <w:t> </w:t>
      </w:r>
      <w:r>
        <w:rPr/>
        <w:t>after</w:t>
      </w:r>
      <w:r>
        <w:rPr>
          <w:spacing w:val="40"/>
        </w:rPr>
        <w:t> </w:t>
      </w:r>
      <w:r>
        <w:rPr/>
        <w:t>1</w:t>
      </w:r>
      <w:r>
        <w:rPr>
          <w:spacing w:val="40"/>
        </w:rPr>
        <w:t> </w:t>
      </w:r>
      <w:r>
        <w:rPr/>
        <w:t>hour</w:t>
      </w:r>
      <w:r>
        <w:rPr>
          <w:spacing w:val="40"/>
        </w:rPr>
        <w:t> </w:t>
      </w:r>
      <w:r>
        <w:rPr/>
        <w:t>of</w:t>
      </w:r>
      <w:r>
        <w:rPr>
          <w:spacing w:val="40"/>
        </w:rPr>
        <w:t> </w:t>
      </w:r>
      <w:r>
        <w:rPr/>
        <w:t>partial</w:t>
      </w:r>
      <w:r>
        <w:rPr>
          <w:spacing w:val="40"/>
        </w:rPr>
        <w:t> </w:t>
      </w:r>
      <w:r>
        <w:rPr/>
        <w:t>CO</w:t>
      </w:r>
      <w:r>
        <w:rPr>
          <w:spacing w:val="40"/>
        </w:rPr>
        <w:t> </w:t>
      </w:r>
      <w:r>
        <w:rPr/>
        <w:t>exposure.</w:t>
      </w:r>
      <w:r>
        <w:rPr>
          <w:spacing w:val="40"/>
        </w:rPr>
        <w:t> </w:t>
      </w:r>
      <w:r>
        <w:rPr/>
        <w:t>In</w:t>
      </w:r>
      <w:r>
        <w:rPr>
          <w:spacing w:val="40"/>
        </w:rPr>
        <w:t> </w:t>
      </w:r>
      <w:r>
        <w:rPr/>
        <w:t>a</w:t>
      </w:r>
      <w:r>
        <w:rPr>
          <w:spacing w:val="40"/>
        </w:rPr>
        <w:t> </w:t>
      </w:r>
      <w:r>
        <w:rPr/>
        <w:t>recent study conducted by Mereu </w:t>
      </w:r>
      <w:r>
        <w:rPr>
          <w:i/>
        </w:rPr>
        <w:t>et al</w:t>
      </w:r>
      <w:r>
        <w:rPr/>
        <w:t>., (2000), functional changes observed at CA3-CA1 synapses</w:t>
      </w:r>
      <w:r>
        <w:rPr>
          <w:spacing w:val="38"/>
        </w:rPr>
        <w:t> </w:t>
      </w:r>
      <w:r>
        <w:rPr/>
        <w:t>in the</w:t>
      </w:r>
      <w:r>
        <w:rPr>
          <w:spacing w:val="40"/>
        </w:rPr>
        <w:t> </w:t>
      </w:r>
      <w:r>
        <w:rPr/>
        <w:t>hippocampus</w:t>
      </w:r>
      <w:r>
        <w:rPr>
          <w:spacing w:val="31"/>
        </w:rPr>
        <w:t> </w:t>
      </w:r>
      <w:r>
        <w:rPr/>
        <w:t>could</w:t>
      </w:r>
      <w:r>
        <w:rPr>
          <w:spacing w:val="30"/>
        </w:rPr>
        <w:t> </w:t>
      </w:r>
      <w:r>
        <w:rPr/>
        <w:t>underlie</w:t>
      </w:r>
      <w:r>
        <w:rPr>
          <w:spacing w:val="34"/>
        </w:rPr>
        <w:t> </w:t>
      </w:r>
      <w:r>
        <w:rPr/>
        <w:t>learning</w:t>
      </w:r>
      <w:r>
        <w:rPr>
          <w:spacing w:val="30"/>
        </w:rPr>
        <w:t> </w:t>
      </w:r>
      <w:r>
        <w:rPr/>
        <w:t>and</w:t>
      </w:r>
      <w:r>
        <w:rPr>
          <w:spacing w:val="36"/>
        </w:rPr>
        <w:t> </w:t>
      </w:r>
      <w:r>
        <w:rPr/>
        <w:t>memory deficits produced</w:t>
      </w:r>
      <w:r>
        <w:rPr>
          <w:spacing w:val="36"/>
        </w:rPr>
        <w:t> </w:t>
      </w:r>
      <w:r>
        <w:rPr/>
        <w:t>in rat offspring by a prenatal exposure model (150 ppm) simulating the CO exposure observed in human cigarette smokers.</w:t>
      </w:r>
    </w:p>
    <w:p>
      <w:pPr>
        <w:pStyle w:val="BodyText"/>
      </w:pPr>
    </w:p>
    <w:p>
      <w:pPr>
        <w:pStyle w:val="BodyText"/>
        <w:spacing w:before="206"/>
      </w:pPr>
    </w:p>
    <w:p>
      <w:pPr>
        <w:pStyle w:val="BodyText"/>
        <w:spacing w:line="491" w:lineRule="auto"/>
        <w:ind w:left="665" w:right="893"/>
        <w:jc w:val="both"/>
      </w:pPr>
      <w:r>
        <w:rPr/>
        <w:t>Though 30 minutes of partial CO exposure enhanced the learning/acquisition task, the same 30 minutes exposure produced significant deterioration in the memory/recall task after 24 hours. It can therefore be deduced that any CO exposure may impair recall in mice. Similarly, CO poisoned subjects were found to have impaired ability to remember new</w:t>
      </w:r>
      <w:r>
        <w:rPr>
          <w:spacing w:val="40"/>
        </w:rPr>
        <w:t> </w:t>
      </w:r>
      <w:r>
        <w:rPr/>
        <w:t>temporal,</w:t>
      </w:r>
      <w:r>
        <w:rPr>
          <w:spacing w:val="40"/>
        </w:rPr>
        <w:t> </w:t>
      </w:r>
      <w:r>
        <w:rPr/>
        <w:t>linquistic,</w:t>
      </w:r>
      <w:r>
        <w:rPr>
          <w:spacing w:val="40"/>
        </w:rPr>
        <w:t> </w:t>
      </w:r>
      <w:r>
        <w:rPr/>
        <w:t>and</w:t>
      </w:r>
      <w:r>
        <w:rPr>
          <w:spacing w:val="40"/>
        </w:rPr>
        <w:t> </w:t>
      </w:r>
      <w:r>
        <w:rPr/>
        <w:t>spatial</w:t>
      </w:r>
      <w:r>
        <w:rPr>
          <w:spacing w:val="40"/>
        </w:rPr>
        <w:t> </w:t>
      </w:r>
      <w:r>
        <w:rPr/>
        <w:t>information</w:t>
      </w:r>
      <w:r>
        <w:rPr>
          <w:spacing w:val="40"/>
        </w:rPr>
        <w:t> </w:t>
      </w:r>
      <w:r>
        <w:rPr/>
        <w:t>while</w:t>
      </w:r>
      <w:r>
        <w:rPr>
          <w:spacing w:val="40"/>
        </w:rPr>
        <w:t> </w:t>
      </w:r>
      <w:r>
        <w:rPr/>
        <w:t>previous</w:t>
      </w:r>
      <w:r>
        <w:rPr>
          <w:spacing w:val="40"/>
        </w:rPr>
        <w:t> </w:t>
      </w:r>
      <w:r>
        <w:rPr/>
        <w:t>knowledge</w:t>
      </w:r>
      <w:r>
        <w:rPr>
          <w:spacing w:val="40"/>
        </w:rPr>
        <w:t> </w:t>
      </w:r>
      <w:r>
        <w:rPr/>
        <w:t>for temporal,</w:t>
      </w:r>
      <w:r>
        <w:rPr>
          <w:spacing w:val="40"/>
        </w:rPr>
        <w:t> </w:t>
      </w:r>
      <w:r>
        <w:rPr/>
        <w:t>linquistic,</w:t>
      </w:r>
      <w:r>
        <w:rPr>
          <w:spacing w:val="40"/>
        </w:rPr>
        <w:t> </w:t>
      </w:r>
      <w:r>
        <w:rPr/>
        <w:t>and</w:t>
      </w:r>
      <w:r>
        <w:rPr>
          <w:spacing w:val="40"/>
        </w:rPr>
        <w:t> </w:t>
      </w:r>
      <w:r>
        <w:rPr/>
        <w:t>spatial</w:t>
      </w:r>
      <w:r>
        <w:rPr>
          <w:spacing w:val="40"/>
        </w:rPr>
        <w:t> </w:t>
      </w:r>
      <w:r>
        <w:rPr/>
        <w:t>information</w:t>
      </w:r>
      <w:r>
        <w:rPr>
          <w:spacing w:val="40"/>
        </w:rPr>
        <w:t> </w:t>
      </w:r>
      <w:r>
        <w:rPr/>
        <w:t>was</w:t>
      </w:r>
      <w:r>
        <w:rPr>
          <w:spacing w:val="40"/>
        </w:rPr>
        <w:t> </w:t>
      </w:r>
      <w:r>
        <w:rPr/>
        <w:t>intact</w:t>
      </w:r>
      <w:r>
        <w:rPr>
          <w:spacing w:val="40"/>
        </w:rPr>
        <w:t> </w:t>
      </w:r>
      <w:r>
        <w:rPr/>
        <w:t>(Hopkins</w:t>
      </w:r>
      <w:r>
        <w:rPr>
          <w:spacing w:val="40"/>
        </w:rPr>
        <w:t> </w:t>
      </w:r>
      <w:r>
        <w:rPr>
          <w:i/>
        </w:rPr>
        <w:t>et</w:t>
      </w:r>
      <w:r>
        <w:rPr>
          <w:i/>
          <w:spacing w:val="40"/>
        </w:rPr>
        <w:t> </w:t>
      </w:r>
      <w:r>
        <w:rPr>
          <w:i/>
        </w:rPr>
        <w:t>al</w:t>
      </w:r>
      <w:r>
        <w:rPr/>
        <w:t>., 1993).</w:t>
      </w:r>
      <w:r>
        <w:rPr>
          <w:spacing w:val="40"/>
        </w:rPr>
        <w:t> </w:t>
      </w:r>
      <w:r>
        <w:rPr/>
        <w:t>Short- term memory loss, lack of spontaneous movements and infarctions in bilateral</w:t>
      </w:r>
      <w:r>
        <w:rPr>
          <w:spacing w:val="40"/>
        </w:rPr>
        <w:t> </w:t>
      </w:r>
      <w:r>
        <w:rPr/>
        <w:t>hippocampi,</w:t>
      </w:r>
      <w:r>
        <w:rPr>
          <w:spacing w:val="40"/>
        </w:rPr>
        <w:t> </w:t>
      </w:r>
      <w:r>
        <w:rPr/>
        <w:t>temporal</w:t>
      </w:r>
      <w:r>
        <w:rPr>
          <w:spacing w:val="40"/>
        </w:rPr>
        <w:t> </w:t>
      </w:r>
      <w:r>
        <w:rPr/>
        <w:t>poles,</w:t>
      </w:r>
      <w:r>
        <w:rPr>
          <w:spacing w:val="40"/>
        </w:rPr>
        <w:t> </w:t>
      </w:r>
      <w:r>
        <w:rPr/>
        <w:t>occipital</w:t>
      </w:r>
      <w:r>
        <w:rPr>
          <w:spacing w:val="40"/>
        </w:rPr>
        <w:t> </w:t>
      </w:r>
      <w:r>
        <w:rPr/>
        <w:t>cortex,</w:t>
      </w:r>
      <w:r>
        <w:rPr>
          <w:spacing w:val="40"/>
        </w:rPr>
        <w:t> </w:t>
      </w:r>
      <w:r>
        <w:rPr/>
        <w:t>globus</w:t>
      </w:r>
      <w:r>
        <w:rPr>
          <w:spacing w:val="40"/>
        </w:rPr>
        <w:t> </w:t>
      </w:r>
      <w:r>
        <w:rPr/>
        <w:t>pallidus,</w:t>
      </w:r>
      <w:r>
        <w:rPr>
          <w:spacing w:val="40"/>
        </w:rPr>
        <w:t> </w:t>
      </w:r>
      <w:r>
        <w:rPr/>
        <w:t>cerebellum,</w:t>
      </w:r>
      <w:r>
        <w:rPr>
          <w:spacing w:val="40"/>
        </w:rPr>
        <w:t> </w:t>
      </w:r>
      <w:r>
        <w:rPr/>
        <w:t>and brainstem were apparent in an elderly man after</w:t>
      </w:r>
      <w:r>
        <w:rPr>
          <w:spacing w:val="38"/>
        </w:rPr>
        <w:t> </w:t>
      </w:r>
      <w:r>
        <w:rPr/>
        <w:t>deliberate CO poisoning. Although he was</w:t>
      </w:r>
      <w:r>
        <w:rPr>
          <w:spacing w:val="59"/>
        </w:rPr>
        <w:t> </w:t>
      </w:r>
      <w:r>
        <w:rPr/>
        <w:t>ambulatory</w:t>
      </w:r>
      <w:r>
        <w:rPr>
          <w:spacing w:val="48"/>
        </w:rPr>
        <w:t> </w:t>
      </w:r>
      <w:r>
        <w:rPr/>
        <w:t>Six</w:t>
      </w:r>
      <w:r>
        <w:rPr>
          <w:spacing w:val="58"/>
        </w:rPr>
        <w:t> </w:t>
      </w:r>
      <w:r>
        <w:rPr/>
        <w:t>months</w:t>
      </w:r>
      <w:r>
        <w:rPr>
          <w:spacing w:val="66"/>
        </w:rPr>
        <w:t> </w:t>
      </w:r>
      <w:r>
        <w:rPr/>
        <w:t>later</w:t>
      </w:r>
      <w:r>
        <w:rPr>
          <w:spacing w:val="68"/>
        </w:rPr>
        <w:t> </w:t>
      </w:r>
      <w:r>
        <w:rPr/>
        <w:t>with</w:t>
      </w:r>
      <w:r>
        <w:rPr>
          <w:spacing w:val="64"/>
        </w:rPr>
        <w:t> </w:t>
      </w:r>
      <w:r>
        <w:rPr/>
        <w:t>normal</w:t>
      </w:r>
      <w:r>
        <w:rPr>
          <w:spacing w:val="67"/>
        </w:rPr>
        <w:t> </w:t>
      </w:r>
      <w:r>
        <w:rPr/>
        <w:t>communication;</w:t>
      </w:r>
      <w:r>
        <w:rPr>
          <w:spacing w:val="72"/>
        </w:rPr>
        <w:t> </w:t>
      </w:r>
      <w:r>
        <w:rPr/>
        <w:t>he</w:t>
      </w:r>
      <w:r>
        <w:rPr>
          <w:spacing w:val="67"/>
        </w:rPr>
        <w:t> </w:t>
      </w:r>
      <w:r>
        <w:rPr/>
        <w:t>suffered</w:t>
      </w:r>
      <w:r>
        <w:rPr>
          <w:spacing w:val="68"/>
        </w:rPr>
        <w:t> </w:t>
      </w:r>
      <w:r>
        <w:rPr>
          <w:spacing w:val="-2"/>
        </w:rPr>
        <w:t>residual</w:t>
      </w:r>
    </w:p>
    <w:p>
      <w:pPr>
        <w:spacing w:after="0" w:line="491" w:lineRule="auto"/>
        <w:jc w:val="both"/>
        <w:sectPr>
          <w:pgSz w:w="12240" w:h="15840"/>
          <w:pgMar w:header="0" w:footer="916" w:top="1260" w:bottom="1100" w:left="1720" w:right="960"/>
        </w:sectPr>
      </w:pPr>
    </w:p>
    <w:p>
      <w:pPr>
        <w:pStyle w:val="BodyText"/>
        <w:spacing w:line="491" w:lineRule="auto" w:before="75"/>
        <w:ind w:left="665" w:right="896"/>
        <w:jc w:val="both"/>
      </w:pPr>
      <w:r>
        <w:rPr/>
        <w:t>anterograde amnesia (Gottfried </w:t>
      </w:r>
      <w:r>
        <w:rPr>
          <w:i/>
        </w:rPr>
        <w:t>et al</w:t>
      </w:r>
      <w:r>
        <w:rPr/>
        <w:t>., 2001).</w:t>
      </w:r>
      <w:r>
        <w:rPr>
          <w:spacing w:val="40"/>
        </w:rPr>
        <w:t> </w:t>
      </w:r>
      <w:r>
        <w:rPr/>
        <w:t>A case of delayed encephalopathy and cognitive</w:t>
      </w:r>
      <w:r>
        <w:rPr>
          <w:spacing w:val="38"/>
        </w:rPr>
        <w:t> </w:t>
      </w:r>
      <w:r>
        <w:rPr/>
        <w:t>sequelae</w:t>
      </w:r>
      <w:r>
        <w:rPr>
          <w:spacing w:val="38"/>
        </w:rPr>
        <w:t> </w:t>
      </w:r>
      <w:r>
        <w:rPr/>
        <w:t>were</w:t>
      </w:r>
      <w:r>
        <w:rPr>
          <w:spacing w:val="38"/>
        </w:rPr>
        <w:t> </w:t>
      </w:r>
      <w:r>
        <w:rPr/>
        <w:t>observed</w:t>
      </w:r>
      <w:r>
        <w:rPr>
          <w:spacing w:val="39"/>
        </w:rPr>
        <w:t> </w:t>
      </w:r>
      <w:r>
        <w:rPr/>
        <w:t>4</w:t>
      </w:r>
      <w:r>
        <w:rPr>
          <w:spacing w:val="35"/>
        </w:rPr>
        <w:t> </w:t>
      </w:r>
      <w:r>
        <w:rPr/>
        <w:t>weeks</w:t>
      </w:r>
      <w:r>
        <w:rPr>
          <w:spacing w:val="36"/>
        </w:rPr>
        <w:t> </w:t>
      </w:r>
      <w:r>
        <w:rPr/>
        <w:t>after</w:t>
      </w:r>
      <w:r>
        <w:rPr>
          <w:spacing w:val="39"/>
        </w:rPr>
        <w:t> </w:t>
      </w:r>
      <w:r>
        <w:rPr/>
        <w:t>acute</w:t>
      </w:r>
      <w:r>
        <w:rPr>
          <w:spacing w:val="38"/>
        </w:rPr>
        <w:t> </w:t>
      </w:r>
      <w:r>
        <w:rPr/>
        <w:t>CO</w:t>
      </w:r>
      <w:r>
        <w:rPr>
          <w:spacing w:val="33"/>
        </w:rPr>
        <w:t> </w:t>
      </w:r>
      <w:r>
        <w:rPr/>
        <w:t>poisoning,</w:t>
      </w:r>
      <w:r>
        <w:rPr>
          <w:spacing w:val="38"/>
        </w:rPr>
        <w:t> </w:t>
      </w:r>
      <w:r>
        <w:rPr/>
        <w:t>following</w:t>
      </w:r>
      <w:r>
        <w:rPr>
          <w:spacing w:val="29"/>
        </w:rPr>
        <w:t> </w:t>
      </w:r>
      <w:r>
        <w:rPr/>
        <w:t>which the patient</w:t>
      </w:r>
      <w:r>
        <w:rPr>
          <w:spacing w:val="23"/>
        </w:rPr>
        <w:t> </w:t>
      </w:r>
      <w:r>
        <w:rPr/>
        <w:t>regained</w:t>
      </w:r>
      <w:r>
        <w:rPr>
          <w:spacing w:val="26"/>
        </w:rPr>
        <w:t> </w:t>
      </w:r>
      <w:r>
        <w:rPr/>
        <w:t>some improved</w:t>
      </w:r>
      <w:r>
        <w:rPr>
          <w:spacing w:val="26"/>
        </w:rPr>
        <w:t> </w:t>
      </w:r>
      <w:r>
        <w:rPr/>
        <w:t>memory and</w:t>
      </w:r>
      <w:r>
        <w:rPr>
          <w:spacing w:val="26"/>
        </w:rPr>
        <w:t> </w:t>
      </w:r>
      <w:r>
        <w:rPr/>
        <w:t>other cognitive</w:t>
      </w:r>
      <w:r>
        <w:rPr>
          <w:spacing w:val="24"/>
        </w:rPr>
        <w:t> </w:t>
      </w:r>
      <w:r>
        <w:rPr/>
        <w:t>function after 4 weeks of treatment, including hyperbaric oxygen therapy (HBOT) (Tapeantong </w:t>
      </w:r>
      <w:r>
        <w:rPr>
          <w:i/>
        </w:rPr>
        <w:t>et al</w:t>
      </w:r>
      <w:r>
        <w:rPr/>
        <w:t>., 2009). It was observed</w:t>
      </w:r>
      <w:r>
        <w:rPr>
          <w:spacing w:val="40"/>
        </w:rPr>
        <w:t> </w:t>
      </w:r>
      <w:r>
        <w:rPr/>
        <w:t>that</w:t>
      </w:r>
      <w:r>
        <w:rPr>
          <w:spacing w:val="40"/>
        </w:rPr>
        <w:t> </w:t>
      </w:r>
      <w:r>
        <w:rPr/>
        <w:t>chronic</w:t>
      </w:r>
      <w:r>
        <w:rPr>
          <w:spacing w:val="40"/>
        </w:rPr>
        <w:t> </w:t>
      </w:r>
      <w:r>
        <w:rPr/>
        <w:t>cerebrolysin</w:t>
      </w:r>
      <w:r>
        <w:rPr>
          <w:spacing w:val="40"/>
        </w:rPr>
        <w:t> </w:t>
      </w:r>
      <w:r>
        <w:rPr/>
        <w:t>(CL)-treatment</w:t>
      </w:r>
      <w:r>
        <w:rPr>
          <w:spacing w:val="40"/>
        </w:rPr>
        <w:t> </w:t>
      </w:r>
      <w:r>
        <w:rPr/>
        <w:t>enhances</w:t>
      </w:r>
      <w:r>
        <w:rPr>
          <w:spacing w:val="40"/>
        </w:rPr>
        <w:t> </w:t>
      </w:r>
      <w:r>
        <w:rPr/>
        <w:t>recovery of hippocampal tissue after hypoxic damage of intermediate severity induced by CO (Koroleva </w:t>
      </w:r>
      <w:r>
        <w:rPr>
          <w:i/>
        </w:rPr>
        <w:t>et al</w:t>
      </w:r>
      <w:r>
        <w:rPr/>
        <w:t>., 1999).</w:t>
      </w:r>
    </w:p>
    <w:p>
      <w:pPr>
        <w:pStyle w:val="BodyText"/>
      </w:pPr>
    </w:p>
    <w:p>
      <w:pPr>
        <w:pStyle w:val="BodyText"/>
      </w:pPr>
    </w:p>
    <w:p>
      <w:pPr>
        <w:pStyle w:val="BodyText"/>
        <w:spacing w:before="137"/>
      </w:pPr>
    </w:p>
    <w:p>
      <w:pPr>
        <w:pStyle w:val="BodyText"/>
        <w:spacing w:line="491" w:lineRule="auto"/>
        <w:ind w:left="665" w:right="894"/>
        <w:jc w:val="both"/>
      </w:pPr>
      <w:r>
        <w:rPr/>
        <w:t>Exposure</w:t>
      </w:r>
      <w:r>
        <w:rPr>
          <w:spacing w:val="40"/>
        </w:rPr>
        <w:t> </w:t>
      </w:r>
      <w:r>
        <w:rPr/>
        <w:t>to</w:t>
      </w:r>
      <w:r>
        <w:rPr>
          <w:spacing w:val="40"/>
        </w:rPr>
        <w:t> </w:t>
      </w:r>
      <w:r>
        <w:rPr/>
        <w:t>CO</w:t>
      </w:r>
      <w:r>
        <w:rPr>
          <w:spacing w:val="40"/>
        </w:rPr>
        <w:t> </w:t>
      </w:r>
      <w:r>
        <w:rPr/>
        <w:t>was</w:t>
      </w:r>
      <w:r>
        <w:rPr>
          <w:spacing w:val="40"/>
        </w:rPr>
        <w:t> </w:t>
      </w:r>
      <w:r>
        <w:rPr/>
        <w:t>found</w:t>
      </w:r>
      <w:r>
        <w:rPr>
          <w:spacing w:val="40"/>
        </w:rPr>
        <w:t> </w:t>
      </w:r>
      <w:r>
        <w:rPr/>
        <w:t>to produce deterioration of memory due to</w:t>
      </w:r>
      <w:r>
        <w:rPr>
          <w:spacing w:val="40"/>
        </w:rPr>
        <w:t> </w:t>
      </w:r>
      <w:r>
        <w:rPr/>
        <w:t>neuronal cell death.</w:t>
      </w:r>
      <w:r>
        <w:rPr>
          <w:spacing w:val="23"/>
        </w:rPr>
        <w:t> </w:t>
      </w:r>
      <w:r>
        <w:rPr/>
        <w:t>In</w:t>
      </w:r>
      <w:r>
        <w:rPr>
          <w:spacing w:val="19"/>
        </w:rPr>
        <w:t> </w:t>
      </w:r>
      <w:r>
        <w:rPr/>
        <w:t>another</w:t>
      </w:r>
      <w:r>
        <w:rPr>
          <w:spacing w:val="23"/>
        </w:rPr>
        <w:t> </w:t>
      </w:r>
      <w:r>
        <w:rPr/>
        <w:t>research,</w:t>
      </w:r>
      <w:r>
        <w:rPr>
          <w:spacing w:val="27"/>
        </w:rPr>
        <w:t> </w:t>
      </w:r>
      <w:r>
        <w:rPr/>
        <w:t>hypoxic</w:t>
      </w:r>
      <w:r>
        <w:rPr>
          <w:spacing w:val="27"/>
        </w:rPr>
        <w:t> </w:t>
      </w:r>
      <w:r>
        <w:rPr/>
        <w:t>ischaemia</w:t>
      </w:r>
      <w:r>
        <w:rPr>
          <w:spacing w:val="21"/>
        </w:rPr>
        <w:t> </w:t>
      </w:r>
      <w:r>
        <w:rPr/>
        <w:t>was</w:t>
      </w:r>
      <w:r>
        <w:rPr>
          <w:spacing w:val="25"/>
        </w:rPr>
        <w:t> </w:t>
      </w:r>
      <w:r>
        <w:rPr/>
        <w:t>found</w:t>
      </w:r>
      <w:r>
        <w:rPr>
          <w:spacing w:val="24"/>
        </w:rPr>
        <w:t> </w:t>
      </w:r>
      <w:r>
        <w:rPr/>
        <w:t>to</w:t>
      </w:r>
      <w:r>
        <w:rPr>
          <w:spacing w:val="30"/>
        </w:rPr>
        <w:t> </w:t>
      </w:r>
      <w:r>
        <w:rPr/>
        <w:t>cause</w:t>
      </w:r>
      <w:r>
        <w:rPr>
          <w:spacing w:val="17"/>
        </w:rPr>
        <w:t> </w:t>
      </w:r>
      <w:r>
        <w:rPr/>
        <w:t>damage</w:t>
      </w:r>
      <w:r>
        <w:rPr>
          <w:spacing w:val="21"/>
        </w:rPr>
        <w:t> </w:t>
      </w:r>
      <w:r>
        <w:rPr/>
        <w:t>and</w:t>
      </w:r>
      <w:r>
        <w:rPr>
          <w:spacing w:val="30"/>
        </w:rPr>
        <w:t> </w:t>
      </w:r>
      <w:r>
        <w:rPr/>
        <w:t>cell</w:t>
      </w:r>
      <w:r>
        <w:rPr>
          <w:spacing w:val="26"/>
        </w:rPr>
        <w:t> </w:t>
      </w:r>
      <w:r>
        <w:rPr/>
        <w:t>loss to the pyramidal cells in the CA1 region of the hippocampus (Volpe and Petitio, 1985). Similarly, Katoh </w:t>
      </w:r>
      <w:r>
        <w:rPr>
          <w:i/>
        </w:rPr>
        <w:t>et al</w:t>
      </w:r>
      <w:r>
        <w:rPr/>
        <w:t>. (1990) reported a 17% decrease in pyramidal cells in the CA1 region of mice</w:t>
      </w:r>
      <w:r>
        <w:rPr>
          <w:spacing w:val="18"/>
        </w:rPr>
        <w:t> </w:t>
      </w:r>
      <w:r>
        <w:rPr/>
        <w:t>who</w:t>
      </w:r>
      <w:r>
        <w:rPr>
          <w:spacing w:val="25"/>
        </w:rPr>
        <w:t> </w:t>
      </w:r>
      <w:r>
        <w:rPr/>
        <w:t>received</w:t>
      </w:r>
      <w:r>
        <w:rPr>
          <w:spacing w:val="25"/>
        </w:rPr>
        <w:t> </w:t>
      </w:r>
      <w:r>
        <w:rPr/>
        <w:t>pure CO</w:t>
      </w:r>
      <w:r>
        <w:rPr>
          <w:spacing w:val="17"/>
        </w:rPr>
        <w:t> </w:t>
      </w:r>
      <w:r>
        <w:rPr/>
        <w:t>compared</w:t>
      </w:r>
      <w:r>
        <w:rPr>
          <w:spacing w:val="25"/>
        </w:rPr>
        <w:t> </w:t>
      </w:r>
      <w:r>
        <w:rPr/>
        <w:t>to</w:t>
      </w:r>
      <w:r>
        <w:rPr>
          <w:spacing w:val="25"/>
        </w:rPr>
        <w:t> </w:t>
      </w:r>
      <w:r>
        <w:rPr/>
        <w:t>normal controls.</w:t>
      </w:r>
      <w:r>
        <w:rPr>
          <w:spacing w:val="18"/>
        </w:rPr>
        <w:t> </w:t>
      </w:r>
      <w:r>
        <w:rPr/>
        <w:t>The finding</w:t>
      </w:r>
      <w:r>
        <w:rPr>
          <w:spacing w:val="21"/>
        </w:rPr>
        <w:t> </w:t>
      </w:r>
      <w:r>
        <w:rPr/>
        <w:t>here</w:t>
      </w:r>
      <w:r>
        <w:rPr>
          <w:spacing w:val="24"/>
        </w:rPr>
        <w:t> </w:t>
      </w:r>
      <w:r>
        <w:rPr/>
        <w:t>is in line with the above, suggesting significant deterioration in learning/acquisition after 1 hour of partial CO exposure. A study conducted by Mereu </w:t>
      </w:r>
      <w:r>
        <w:rPr>
          <w:i/>
        </w:rPr>
        <w:t>et al</w:t>
      </w:r>
      <w:r>
        <w:rPr/>
        <w:t>. (2000), suggested functional changes at CA3-CA1 synapses in the hippocampus as the possible cause of learning and</w:t>
      </w:r>
      <w:r>
        <w:rPr>
          <w:spacing w:val="40"/>
        </w:rPr>
        <w:t> </w:t>
      </w:r>
      <w:r>
        <w:rPr/>
        <w:t>memory deficits</w:t>
      </w:r>
      <w:r>
        <w:rPr>
          <w:spacing w:val="40"/>
        </w:rPr>
        <w:t> </w:t>
      </w:r>
      <w:r>
        <w:rPr/>
        <w:t>produced</w:t>
      </w:r>
      <w:r>
        <w:rPr>
          <w:spacing w:val="40"/>
        </w:rPr>
        <w:t> </w:t>
      </w:r>
      <w:r>
        <w:rPr/>
        <w:t>in</w:t>
      </w:r>
      <w:r>
        <w:rPr>
          <w:spacing w:val="39"/>
        </w:rPr>
        <w:t> </w:t>
      </w:r>
      <w:r>
        <w:rPr/>
        <w:t>rat</w:t>
      </w:r>
      <w:r>
        <w:rPr>
          <w:spacing w:val="40"/>
        </w:rPr>
        <w:t> </w:t>
      </w:r>
      <w:r>
        <w:rPr/>
        <w:t>offspring</w:t>
      </w:r>
      <w:r>
        <w:rPr>
          <w:spacing w:val="39"/>
        </w:rPr>
        <w:t> </w:t>
      </w:r>
      <w:r>
        <w:rPr/>
        <w:t>by</w:t>
      </w:r>
      <w:r>
        <w:rPr>
          <w:spacing w:val="39"/>
        </w:rPr>
        <w:t> </w:t>
      </w:r>
      <w:r>
        <w:rPr/>
        <w:t>a</w:t>
      </w:r>
      <w:r>
        <w:rPr>
          <w:spacing w:val="40"/>
        </w:rPr>
        <w:t> </w:t>
      </w:r>
      <w:r>
        <w:rPr/>
        <w:t>prenatal exposure model (150 ppm), simulating the CO exposure observed in human cigarette smokers. Brain regions showed</w:t>
      </w:r>
      <w:r>
        <w:rPr>
          <w:spacing w:val="40"/>
        </w:rPr>
        <w:t> </w:t>
      </w:r>
      <w:r>
        <w:rPr/>
        <w:t>varying sensitivity to</w:t>
      </w:r>
      <w:r>
        <w:rPr>
          <w:spacing w:val="40"/>
        </w:rPr>
        <w:t> </w:t>
      </w:r>
      <w:r>
        <w:rPr/>
        <w:t>hypoxic damage.</w:t>
      </w:r>
      <w:r>
        <w:rPr>
          <w:spacing w:val="40"/>
        </w:rPr>
        <w:t> </w:t>
      </w:r>
      <w:r>
        <w:rPr/>
        <w:t>Attempts</w:t>
      </w:r>
      <w:r>
        <w:rPr>
          <w:spacing w:val="40"/>
        </w:rPr>
        <w:t> </w:t>
      </w:r>
      <w:r>
        <w:rPr/>
        <w:t>have</w:t>
      </w:r>
      <w:r>
        <w:rPr>
          <w:spacing w:val="40"/>
        </w:rPr>
        <w:t> </w:t>
      </w:r>
      <w:r>
        <w:rPr/>
        <w:t>been made to relate</w:t>
      </w:r>
      <w:r>
        <w:rPr>
          <w:spacing w:val="40"/>
        </w:rPr>
        <w:t> </w:t>
      </w:r>
      <w:r>
        <w:rPr/>
        <w:t>this</w:t>
      </w:r>
      <w:r>
        <w:rPr>
          <w:spacing w:val="40"/>
        </w:rPr>
        <w:t> </w:t>
      </w:r>
      <w:r>
        <w:rPr/>
        <w:t>“selective</w:t>
      </w:r>
      <w:r>
        <w:rPr>
          <w:spacing w:val="40"/>
        </w:rPr>
        <w:t> </w:t>
      </w:r>
      <w:r>
        <w:rPr/>
        <w:t>vulnerability”</w:t>
      </w:r>
      <w:r>
        <w:rPr>
          <w:spacing w:val="40"/>
        </w:rPr>
        <w:t> </w:t>
      </w:r>
      <w:r>
        <w:rPr/>
        <w:t>to</w:t>
      </w:r>
      <w:r>
        <w:rPr>
          <w:spacing w:val="40"/>
        </w:rPr>
        <w:t> </w:t>
      </w:r>
      <w:r>
        <w:rPr/>
        <w:t>the</w:t>
      </w:r>
      <w:r>
        <w:rPr>
          <w:spacing w:val="40"/>
        </w:rPr>
        <w:t> </w:t>
      </w:r>
      <w:r>
        <w:rPr/>
        <w:t>cause</w:t>
      </w:r>
      <w:r>
        <w:rPr>
          <w:spacing w:val="40"/>
        </w:rPr>
        <w:t> </w:t>
      </w:r>
      <w:r>
        <w:rPr/>
        <w:t>of</w:t>
      </w:r>
      <w:r>
        <w:rPr>
          <w:spacing w:val="40"/>
        </w:rPr>
        <w:t> </w:t>
      </w:r>
      <w:r>
        <w:rPr/>
        <w:t>hypoxia,</w:t>
      </w:r>
      <w:r>
        <w:rPr>
          <w:spacing w:val="40"/>
        </w:rPr>
        <w:t> </w:t>
      </w:r>
      <w:r>
        <w:rPr/>
        <w:t>but</w:t>
      </w:r>
      <w:r>
        <w:rPr>
          <w:spacing w:val="40"/>
        </w:rPr>
        <w:t> </w:t>
      </w:r>
      <w:r>
        <w:rPr/>
        <w:t>the</w:t>
      </w:r>
      <w:r>
        <w:rPr>
          <w:spacing w:val="40"/>
        </w:rPr>
        <w:t> </w:t>
      </w:r>
      <w:r>
        <w:rPr/>
        <w:t>nature</w:t>
      </w:r>
      <w:r>
        <w:rPr>
          <w:spacing w:val="40"/>
        </w:rPr>
        <w:t> </w:t>
      </w:r>
      <w:r>
        <w:rPr/>
        <w:t>and distribution of the lesions appear to depend on the severity, suddenness, and duration of</w:t>
      </w:r>
      <w:r>
        <w:rPr>
          <w:spacing w:val="40"/>
        </w:rPr>
        <w:t> </w:t>
      </w:r>
      <w:r>
        <w:rPr/>
        <w:t>the oxygen deprivation,</w:t>
      </w:r>
      <w:r>
        <w:rPr>
          <w:spacing w:val="24"/>
        </w:rPr>
        <w:t> </w:t>
      </w:r>
      <w:r>
        <w:rPr/>
        <w:t>as well as on its mechanism (hypoxia or ischaemia), rather than</w:t>
      </w:r>
      <w:r>
        <w:rPr>
          <w:spacing w:val="40"/>
        </w:rPr>
        <w:t> </w:t>
      </w:r>
      <w:r>
        <w:rPr/>
        <w:t>on its cause. In the brain, hypoxia leads to increased intracranial pressure and cerebral oedema which is partially</w:t>
      </w:r>
      <w:r>
        <w:rPr>
          <w:spacing w:val="-5"/>
        </w:rPr>
        <w:t> </w:t>
      </w:r>
      <w:r>
        <w:rPr/>
        <w:t>responsible for decreased level of consciousness, seizures and coma (Lapresle </w:t>
      </w:r>
      <w:r>
        <w:rPr>
          <w:i/>
        </w:rPr>
        <w:t>et al</w:t>
      </w:r>
      <w:r>
        <w:rPr/>
        <w:t>., 1967).</w:t>
      </w:r>
    </w:p>
    <w:p>
      <w:pPr>
        <w:spacing w:after="0" w:line="491" w:lineRule="auto"/>
        <w:jc w:val="both"/>
        <w:sectPr>
          <w:pgSz w:w="12240" w:h="15840"/>
          <w:pgMar w:header="0" w:footer="916" w:top="1260" w:bottom="1100" w:left="1720" w:right="960"/>
        </w:sectPr>
      </w:pPr>
    </w:p>
    <w:p>
      <w:pPr>
        <w:pStyle w:val="BodyText"/>
        <w:spacing w:line="491" w:lineRule="auto" w:before="221"/>
        <w:ind w:left="665" w:right="893"/>
        <w:jc w:val="both"/>
      </w:pPr>
      <w:r>
        <w:rPr/>
        <w:t>Though 30 minutes of partial CO exposure enhanced the learning/acquisition task, the same 30 minutes exposure produced significant deterioration in the memory/recall task after 24 hours. It can therefore be deduced that any CO exposure may impair recall in mice. Similarly CO poisoned subjects were found to have impaired ability to remember new</w:t>
      </w:r>
      <w:r>
        <w:rPr>
          <w:spacing w:val="40"/>
        </w:rPr>
        <w:t> </w:t>
      </w:r>
      <w:r>
        <w:rPr/>
        <w:t>temporal,</w:t>
      </w:r>
      <w:r>
        <w:rPr>
          <w:spacing w:val="40"/>
        </w:rPr>
        <w:t> </w:t>
      </w:r>
      <w:r>
        <w:rPr/>
        <w:t>linquistic,</w:t>
      </w:r>
      <w:r>
        <w:rPr>
          <w:spacing w:val="40"/>
        </w:rPr>
        <w:t> </w:t>
      </w:r>
      <w:r>
        <w:rPr/>
        <w:t>and</w:t>
      </w:r>
      <w:r>
        <w:rPr>
          <w:spacing w:val="40"/>
        </w:rPr>
        <w:t> </w:t>
      </w:r>
      <w:r>
        <w:rPr/>
        <w:t>spatial</w:t>
      </w:r>
      <w:r>
        <w:rPr>
          <w:spacing w:val="40"/>
        </w:rPr>
        <w:t> </w:t>
      </w:r>
      <w:r>
        <w:rPr/>
        <w:t>information</w:t>
      </w:r>
      <w:r>
        <w:rPr>
          <w:spacing w:val="40"/>
        </w:rPr>
        <w:t> </w:t>
      </w:r>
      <w:r>
        <w:rPr/>
        <w:t>while</w:t>
      </w:r>
      <w:r>
        <w:rPr>
          <w:spacing w:val="40"/>
        </w:rPr>
        <w:t> </w:t>
      </w:r>
      <w:r>
        <w:rPr/>
        <w:t>previous</w:t>
      </w:r>
      <w:r>
        <w:rPr>
          <w:spacing w:val="40"/>
        </w:rPr>
        <w:t> </w:t>
      </w:r>
      <w:r>
        <w:rPr/>
        <w:t>knowledge</w:t>
      </w:r>
      <w:r>
        <w:rPr>
          <w:spacing w:val="40"/>
        </w:rPr>
        <w:t> </w:t>
      </w:r>
      <w:r>
        <w:rPr/>
        <w:t>for temporal, linquistic, and spatial information was intact (Hopkins </w:t>
      </w:r>
      <w:r>
        <w:rPr>
          <w:i/>
        </w:rPr>
        <w:t>et al</w:t>
      </w:r>
      <w:r>
        <w:rPr/>
        <w:t>., 1993). Results of the study conducted by Andrea </w:t>
      </w:r>
      <w:r>
        <w:rPr>
          <w:i/>
        </w:rPr>
        <w:t>et al</w:t>
      </w:r>
      <w:r>
        <w:rPr/>
        <w:t>. (2001) also suggested that altered developmental profile of hippocampal neuronal NO synthase (</w:t>
      </w:r>
      <w:r>
        <w:rPr>
          <w:i/>
        </w:rPr>
        <w:t>n</w:t>
      </w:r>
      <w:r>
        <w:rPr/>
        <w:t>NOS) and haem-oxygenase (HO-2) activities could be involved in cognitive deficits and long-term potentiation dysfunction exhibited by rats prenatally exposed to CO (150 ppm from days 0 to 20 of pregnancy) levels</w:t>
      </w:r>
      <w:r>
        <w:rPr>
          <w:spacing w:val="40"/>
        </w:rPr>
        <w:t> </w:t>
      </w:r>
      <w:r>
        <w:rPr/>
        <w:t>resulting</w:t>
      </w:r>
      <w:r>
        <w:rPr>
          <w:spacing w:val="40"/>
        </w:rPr>
        <w:t> </w:t>
      </w:r>
      <w:r>
        <w:rPr/>
        <w:t>in</w:t>
      </w:r>
      <w:r>
        <w:rPr>
          <w:spacing w:val="40"/>
        </w:rPr>
        <w:t> </w:t>
      </w:r>
      <w:r>
        <w:rPr/>
        <w:t>COHb</w:t>
      </w:r>
      <w:r>
        <w:rPr>
          <w:spacing w:val="40"/>
        </w:rPr>
        <w:t> </w:t>
      </w:r>
      <w:r>
        <w:rPr/>
        <w:t>levels</w:t>
      </w:r>
      <w:r>
        <w:rPr>
          <w:spacing w:val="40"/>
        </w:rPr>
        <w:t> </w:t>
      </w:r>
      <w:r>
        <w:rPr/>
        <w:t>equivalent</w:t>
      </w:r>
      <w:r>
        <w:rPr>
          <w:spacing w:val="40"/>
        </w:rPr>
        <w:t> </w:t>
      </w:r>
      <w:r>
        <w:rPr/>
        <w:t>to</w:t>
      </w:r>
      <w:r>
        <w:rPr>
          <w:spacing w:val="40"/>
        </w:rPr>
        <w:t> </w:t>
      </w:r>
      <w:r>
        <w:rPr/>
        <w:t>those</w:t>
      </w:r>
      <w:r>
        <w:rPr>
          <w:spacing w:val="40"/>
        </w:rPr>
        <w:t> </w:t>
      </w:r>
      <w:r>
        <w:rPr/>
        <w:t>observed</w:t>
      </w:r>
      <w:r>
        <w:rPr>
          <w:spacing w:val="40"/>
        </w:rPr>
        <w:t> </w:t>
      </w:r>
      <w:r>
        <w:rPr/>
        <w:t>in</w:t>
      </w:r>
      <w:r>
        <w:rPr>
          <w:spacing w:val="40"/>
        </w:rPr>
        <w:t> </w:t>
      </w:r>
      <w:r>
        <w:rPr/>
        <w:t>human</w:t>
      </w:r>
      <w:r>
        <w:rPr>
          <w:spacing w:val="40"/>
        </w:rPr>
        <w:t> </w:t>
      </w:r>
      <w:r>
        <w:rPr/>
        <w:t>cigarette </w:t>
      </w:r>
      <w:r>
        <w:rPr>
          <w:spacing w:val="-2"/>
        </w:rPr>
        <w:t>smokers.</w:t>
      </w:r>
    </w:p>
    <w:p>
      <w:pPr>
        <w:pStyle w:val="BodyText"/>
      </w:pPr>
    </w:p>
    <w:p>
      <w:pPr>
        <w:pStyle w:val="BodyText"/>
        <w:spacing w:before="206"/>
      </w:pPr>
    </w:p>
    <w:p>
      <w:pPr>
        <w:pStyle w:val="BodyText"/>
        <w:spacing w:line="491" w:lineRule="auto"/>
        <w:ind w:left="665" w:right="900"/>
        <w:jc w:val="both"/>
      </w:pPr>
      <w:r>
        <w:rPr/>
        <w:t>It can also be inferred from the result that maximum effect of CO on mice was reached during the 1-hour exposure, which could possibly be that time when the maximum saturation point of COHb in the body was reached. As Coburn </w:t>
      </w:r>
      <w:r>
        <w:rPr>
          <w:i/>
        </w:rPr>
        <w:t>et al</w:t>
      </w:r>
      <w:r>
        <w:rPr/>
        <w:t>. (1965) has pointed</w:t>
      </w:r>
      <w:r>
        <w:rPr>
          <w:spacing w:val="40"/>
        </w:rPr>
        <w:t> </w:t>
      </w:r>
      <w:r>
        <w:rPr/>
        <w:t>out that the most important determinants of COHb level are CO concentration in inhaled air, duration of exposure and alveolar ventilation. The maximum CO effect reached triggered</w:t>
      </w:r>
      <w:r>
        <w:rPr>
          <w:spacing w:val="40"/>
        </w:rPr>
        <w:t> </w:t>
      </w:r>
      <w:r>
        <w:rPr/>
        <w:t>homeostatic</w:t>
      </w:r>
      <w:r>
        <w:rPr>
          <w:spacing w:val="40"/>
        </w:rPr>
        <w:t> </w:t>
      </w:r>
      <w:r>
        <w:rPr/>
        <w:t>responses</w:t>
      </w:r>
      <w:r>
        <w:rPr>
          <w:spacing w:val="40"/>
        </w:rPr>
        <w:t> </w:t>
      </w:r>
      <w:r>
        <w:rPr/>
        <w:t>such</w:t>
      </w:r>
      <w:r>
        <w:rPr>
          <w:spacing w:val="40"/>
        </w:rPr>
        <w:t> </w:t>
      </w:r>
      <w:r>
        <w:rPr/>
        <w:t>as</w:t>
      </w:r>
      <w:r>
        <w:rPr>
          <w:spacing w:val="40"/>
        </w:rPr>
        <w:t> </w:t>
      </w:r>
      <w:r>
        <w:rPr/>
        <w:t>increased</w:t>
      </w:r>
      <w:r>
        <w:rPr>
          <w:spacing w:val="40"/>
        </w:rPr>
        <w:t> </w:t>
      </w:r>
      <w:r>
        <w:rPr/>
        <w:t>respiratory rate</w:t>
      </w:r>
      <w:r>
        <w:rPr>
          <w:spacing w:val="40"/>
        </w:rPr>
        <w:t> </w:t>
      </w:r>
      <w:r>
        <w:rPr/>
        <w:t>and</w:t>
      </w:r>
      <w:r>
        <w:rPr>
          <w:spacing w:val="40"/>
        </w:rPr>
        <w:t> </w:t>
      </w:r>
      <w:r>
        <w:rPr/>
        <w:t>heart</w:t>
      </w:r>
      <w:r>
        <w:rPr>
          <w:spacing w:val="40"/>
        </w:rPr>
        <w:t> </w:t>
      </w:r>
      <w:r>
        <w:rPr/>
        <w:t>rate</w:t>
      </w:r>
      <w:r>
        <w:rPr>
          <w:spacing w:val="40"/>
        </w:rPr>
        <w:t> </w:t>
      </w:r>
      <w:r>
        <w:rPr/>
        <w:t>to return the body to normal; a possible reason why the</w:t>
      </w:r>
      <w:r>
        <w:rPr>
          <w:spacing w:val="40"/>
        </w:rPr>
        <w:t> </w:t>
      </w:r>
      <w:r>
        <w:rPr/>
        <w:t>mean TL during the 2</w:t>
      </w:r>
      <w:r>
        <w:rPr>
          <w:spacing w:val="40"/>
        </w:rPr>
        <w:t> </w:t>
      </w:r>
      <w:r>
        <w:rPr/>
        <w:t>hours exposure was less than that</w:t>
      </w:r>
      <w:r>
        <w:rPr>
          <w:spacing w:val="40"/>
        </w:rPr>
        <w:t> </w:t>
      </w:r>
      <w:r>
        <w:rPr/>
        <w:t>of the</w:t>
      </w:r>
      <w:r>
        <w:rPr>
          <w:spacing w:val="40"/>
        </w:rPr>
        <w:t> </w:t>
      </w:r>
      <w:r>
        <w:rPr/>
        <w:t>1</w:t>
      </w:r>
      <w:r>
        <w:rPr>
          <w:spacing w:val="40"/>
        </w:rPr>
        <w:t> </w:t>
      </w:r>
      <w:r>
        <w:rPr/>
        <w:t>hour</w:t>
      </w:r>
      <w:r>
        <w:rPr>
          <w:spacing w:val="40"/>
        </w:rPr>
        <w:t> </w:t>
      </w:r>
      <w:r>
        <w:rPr/>
        <w:t>exposure in the</w:t>
      </w:r>
      <w:r>
        <w:rPr>
          <w:spacing w:val="40"/>
        </w:rPr>
        <w:t> </w:t>
      </w:r>
      <w:r>
        <w:rPr/>
        <w:t>experimental</w:t>
      </w:r>
      <w:r>
        <w:rPr>
          <w:spacing w:val="40"/>
        </w:rPr>
        <w:t> </w:t>
      </w:r>
      <w:r>
        <w:rPr/>
        <w:t>group, even though</w:t>
      </w:r>
      <w:r>
        <w:rPr>
          <w:spacing w:val="40"/>
        </w:rPr>
        <w:t> </w:t>
      </w:r>
      <w:r>
        <w:rPr/>
        <w:t>the</w:t>
      </w:r>
      <w:r>
        <w:rPr>
          <w:spacing w:val="40"/>
        </w:rPr>
        <w:t> </w:t>
      </w:r>
      <w:r>
        <w:rPr/>
        <w:t>duration</w:t>
      </w:r>
      <w:r>
        <w:rPr>
          <w:spacing w:val="40"/>
        </w:rPr>
        <w:t> </w:t>
      </w:r>
      <w:r>
        <w:rPr/>
        <w:t>of</w:t>
      </w:r>
      <w:r>
        <w:rPr>
          <w:spacing w:val="40"/>
        </w:rPr>
        <w:t> </w:t>
      </w:r>
      <w:r>
        <w:rPr/>
        <w:t>exposure</w:t>
      </w:r>
      <w:r>
        <w:rPr>
          <w:spacing w:val="40"/>
        </w:rPr>
        <w:t> </w:t>
      </w:r>
      <w:r>
        <w:rPr/>
        <w:t>was</w:t>
      </w:r>
      <w:r>
        <w:rPr>
          <w:spacing w:val="40"/>
        </w:rPr>
        <w:t> </w:t>
      </w:r>
      <w:r>
        <w:rPr/>
        <w:t>higher.</w:t>
      </w:r>
      <w:r>
        <w:rPr>
          <w:spacing w:val="40"/>
        </w:rPr>
        <w:t> </w:t>
      </w:r>
      <w:r>
        <w:rPr/>
        <w:t>Substantial</w:t>
      </w:r>
      <w:r>
        <w:rPr>
          <w:spacing w:val="40"/>
        </w:rPr>
        <w:t> </w:t>
      </w:r>
      <w:r>
        <w:rPr/>
        <w:t>body</w:t>
      </w:r>
      <w:r>
        <w:rPr>
          <w:spacing w:val="40"/>
        </w:rPr>
        <w:t> </w:t>
      </w:r>
      <w:r>
        <w:rPr/>
        <w:t>of</w:t>
      </w:r>
      <w:r>
        <w:rPr>
          <w:spacing w:val="40"/>
        </w:rPr>
        <w:t> </w:t>
      </w:r>
      <w:r>
        <w:rPr/>
        <w:t>literature</w:t>
      </w:r>
      <w:r>
        <w:rPr>
          <w:spacing w:val="40"/>
        </w:rPr>
        <w:t> </w:t>
      </w:r>
      <w:r>
        <w:rPr/>
        <w:t>also suggested</w:t>
      </w:r>
      <w:r>
        <w:rPr>
          <w:spacing w:val="40"/>
        </w:rPr>
        <w:t> </w:t>
      </w:r>
      <w:r>
        <w:rPr/>
        <w:t>that</w:t>
      </w:r>
      <w:r>
        <w:rPr>
          <w:spacing w:val="40"/>
        </w:rPr>
        <w:t> </w:t>
      </w:r>
      <w:r>
        <w:rPr/>
        <w:t>at</w:t>
      </w:r>
      <w:r>
        <w:rPr>
          <w:spacing w:val="40"/>
        </w:rPr>
        <w:t> </w:t>
      </w:r>
      <w:r>
        <w:rPr/>
        <w:t>least</w:t>
      </w:r>
      <w:r>
        <w:rPr>
          <w:spacing w:val="40"/>
        </w:rPr>
        <w:t> </w:t>
      </w:r>
      <w:r>
        <w:rPr/>
        <w:t>with</w:t>
      </w:r>
      <w:r>
        <w:rPr>
          <w:spacing w:val="33"/>
        </w:rPr>
        <w:t> </w:t>
      </w:r>
      <w:r>
        <w:rPr/>
        <w:t>regard</w:t>
      </w:r>
      <w:r>
        <w:rPr>
          <w:spacing w:val="40"/>
        </w:rPr>
        <w:t> </w:t>
      </w:r>
      <w:r>
        <w:rPr/>
        <w:t>to</w:t>
      </w:r>
      <w:r>
        <w:rPr>
          <w:spacing w:val="40"/>
        </w:rPr>
        <w:t> </w:t>
      </w:r>
      <w:r>
        <w:rPr/>
        <w:t>vascular</w:t>
      </w:r>
      <w:r>
        <w:rPr>
          <w:spacing w:val="40"/>
        </w:rPr>
        <w:t> </w:t>
      </w:r>
      <w:r>
        <w:rPr/>
        <w:t>effects,</w:t>
      </w:r>
      <w:r>
        <w:rPr>
          <w:spacing w:val="40"/>
        </w:rPr>
        <w:t> </w:t>
      </w:r>
      <w:r>
        <w:rPr/>
        <w:t>the</w:t>
      </w:r>
      <w:r>
        <w:rPr>
          <w:spacing w:val="36"/>
        </w:rPr>
        <w:t> </w:t>
      </w:r>
      <w:r>
        <w:rPr/>
        <w:t>duration</w:t>
      </w:r>
      <w:r>
        <w:rPr>
          <w:spacing w:val="33"/>
        </w:rPr>
        <w:t> </w:t>
      </w:r>
      <w:r>
        <w:rPr/>
        <w:t>of</w:t>
      </w:r>
      <w:r>
        <w:rPr>
          <w:spacing w:val="37"/>
        </w:rPr>
        <w:t> </w:t>
      </w:r>
      <w:r>
        <w:rPr/>
        <w:t>exposure</w:t>
      </w:r>
      <w:r>
        <w:rPr>
          <w:spacing w:val="36"/>
        </w:rPr>
        <w:t> </w:t>
      </w:r>
      <w:r>
        <w:rPr/>
        <w:t>has</w:t>
      </w:r>
      <w:r>
        <w:rPr>
          <w:spacing w:val="34"/>
        </w:rPr>
        <w:t> </w:t>
      </w:r>
      <w:r>
        <w:rPr/>
        <w:t>a</w:t>
      </w:r>
    </w:p>
    <w:p>
      <w:pPr>
        <w:spacing w:after="0" w:line="491" w:lineRule="auto"/>
        <w:jc w:val="both"/>
        <w:sectPr>
          <w:pgSz w:w="12240" w:h="15840"/>
          <w:pgMar w:header="0" w:footer="916" w:top="1820" w:bottom="1100" w:left="1720" w:right="960"/>
        </w:sectPr>
      </w:pPr>
    </w:p>
    <w:p>
      <w:pPr>
        <w:pStyle w:val="BodyText"/>
        <w:spacing w:line="491" w:lineRule="auto" w:before="75"/>
        <w:ind w:left="665" w:right="904"/>
        <w:jc w:val="both"/>
      </w:pPr>
      <w:r>
        <w:rPr/>
        <w:t>greater</w:t>
      </w:r>
      <w:r>
        <w:rPr>
          <w:spacing w:val="37"/>
        </w:rPr>
        <w:t> </w:t>
      </w:r>
      <w:r>
        <w:rPr/>
        <w:t>impact</w:t>
      </w:r>
      <w:r>
        <w:rPr>
          <w:spacing w:val="28"/>
        </w:rPr>
        <w:t> </w:t>
      </w:r>
      <w:r>
        <w:rPr/>
        <w:t>on</w:t>
      </w:r>
      <w:r>
        <w:rPr>
          <w:spacing w:val="26"/>
        </w:rPr>
        <w:t> </w:t>
      </w:r>
      <w:r>
        <w:rPr/>
        <w:t>the</w:t>
      </w:r>
      <w:r>
        <w:rPr>
          <w:spacing w:val="30"/>
        </w:rPr>
        <w:t> </w:t>
      </w:r>
      <w:r>
        <w:rPr/>
        <w:t>magnitude</w:t>
      </w:r>
      <w:r>
        <w:rPr>
          <w:spacing w:val="25"/>
        </w:rPr>
        <w:t> </w:t>
      </w:r>
      <w:r>
        <w:rPr/>
        <w:t>of</w:t>
      </w:r>
      <w:r>
        <w:rPr>
          <w:spacing w:val="25"/>
        </w:rPr>
        <w:t> </w:t>
      </w:r>
      <w:r>
        <w:rPr/>
        <w:t>CO</w:t>
      </w:r>
      <w:r>
        <w:rPr>
          <w:spacing w:val="30"/>
        </w:rPr>
        <w:t> </w:t>
      </w:r>
      <w:r>
        <w:rPr/>
        <w:t>patho-physiology</w:t>
      </w:r>
      <w:r>
        <w:rPr>
          <w:spacing w:val="26"/>
        </w:rPr>
        <w:t> </w:t>
      </w:r>
      <w:r>
        <w:rPr/>
        <w:t>than</w:t>
      </w:r>
      <w:r>
        <w:rPr>
          <w:spacing w:val="26"/>
        </w:rPr>
        <w:t> </w:t>
      </w:r>
      <w:r>
        <w:rPr/>
        <w:t>what</w:t>
      </w:r>
      <w:r>
        <w:rPr>
          <w:spacing w:val="40"/>
        </w:rPr>
        <w:t> </w:t>
      </w:r>
      <w:r>
        <w:rPr/>
        <w:t>is</w:t>
      </w:r>
      <w:r>
        <w:rPr>
          <w:spacing w:val="27"/>
        </w:rPr>
        <w:t> </w:t>
      </w:r>
      <w:r>
        <w:rPr/>
        <w:t>predicted</w:t>
      </w:r>
      <w:r>
        <w:rPr>
          <w:spacing w:val="38"/>
        </w:rPr>
        <w:t> </w:t>
      </w:r>
      <w:r>
        <w:rPr/>
        <w:t>based on the concentration of CO that</w:t>
      </w:r>
      <w:r>
        <w:rPr>
          <w:spacing w:val="29"/>
        </w:rPr>
        <w:t> </w:t>
      </w:r>
      <w:r>
        <w:rPr/>
        <w:t>is inspired (Fein </w:t>
      </w:r>
      <w:r>
        <w:rPr>
          <w:i/>
        </w:rPr>
        <w:t>et al</w:t>
      </w:r>
      <w:r>
        <w:rPr/>
        <w:t>., 1980; Penney </w:t>
      </w:r>
      <w:r>
        <w:rPr>
          <w:i/>
        </w:rPr>
        <w:t>et</w:t>
      </w:r>
      <w:r>
        <w:rPr>
          <w:i/>
          <w:spacing w:val="29"/>
        </w:rPr>
        <w:t> </w:t>
      </w:r>
      <w:r>
        <w:rPr>
          <w:i/>
        </w:rPr>
        <w:t>al</w:t>
      </w:r>
      <w:r>
        <w:rPr/>
        <w:t>., 2008).</w:t>
      </w:r>
    </w:p>
    <w:p>
      <w:pPr>
        <w:pStyle w:val="Heading2"/>
        <w:numPr>
          <w:ilvl w:val="1"/>
          <w:numId w:val="27"/>
        </w:numPr>
        <w:tabs>
          <w:tab w:pos="1008" w:val="left" w:leader="none"/>
        </w:tabs>
        <w:spacing w:line="240" w:lineRule="auto" w:before="192" w:after="0"/>
        <w:ind w:left="1008" w:right="0" w:hanging="343"/>
        <w:jc w:val="left"/>
      </w:pPr>
      <w:bookmarkStart w:name="_TOC_250007" w:id="50"/>
      <w:r>
        <w:rPr/>
        <w:t>BEAM</w:t>
      </w:r>
      <w:r>
        <w:rPr>
          <w:spacing w:val="5"/>
        </w:rPr>
        <w:t> </w:t>
      </w:r>
      <w:bookmarkEnd w:id="50"/>
      <w:r>
        <w:rPr>
          <w:spacing w:val="-4"/>
        </w:rPr>
        <w:t>WALK</w:t>
      </w:r>
    </w:p>
    <w:p>
      <w:pPr>
        <w:pStyle w:val="BodyText"/>
        <w:spacing w:before="7"/>
        <w:rPr>
          <w:b/>
        </w:rPr>
      </w:pPr>
    </w:p>
    <w:p>
      <w:pPr>
        <w:pStyle w:val="BodyText"/>
        <w:spacing w:line="491" w:lineRule="auto"/>
        <w:ind w:left="665" w:right="893"/>
        <w:jc w:val="both"/>
      </w:pPr>
      <w:r>
        <w:rPr/>
        <w:t>There were marginal increases in the TLs of the experimental groups in all the three periods of</w:t>
      </w:r>
      <w:r>
        <w:rPr>
          <w:spacing w:val="34"/>
        </w:rPr>
        <w:t> </w:t>
      </w:r>
      <w:r>
        <w:rPr/>
        <w:t>exposure,</w:t>
      </w:r>
      <w:r>
        <w:rPr>
          <w:spacing w:val="38"/>
        </w:rPr>
        <w:t> </w:t>
      </w:r>
      <w:r>
        <w:rPr/>
        <w:t>which</w:t>
      </w:r>
      <w:r>
        <w:rPr>
          <w:spacing w:val="35"/>
        </w:rPr>
        <w:t> </w:t>
      </w:r>
      <w:r>
        <w:rPr/>
        <w:t>mean CO</w:t>
      </w:r>
      <w:r>
        <w:rPr>
          <w:spacing w:val="40"/>
        </w:rPr>
        <w:t> </w:t>
      </w:r>
      <w:r>
        <w:rPr/>
        <w:t>exposure</w:t>
      </w:r>
      <w:r>
        <w:rPr>
          <w:spacing w:val="32"/>
        </w:rPr>
        <w:t> </w:t>
      </w:r>
      <w:r>
        <w:rPr/>
        <w:t>does</w:t>
      </w:r>
      <w:r>
        <w:rPr>
          <w:spacing w:val="38"/>
        </w:rPr>
        <w:t> </w:t>
      </w:r>
      <w:r>
        <w:rPr/>
        <w:t>not</w:t>
      </w:r>
      <w:r>
        <w:rPr>
          <w:spacing w:val="37"/>
        </w:rPr>
        <w:t> </w:t>
      </w:r>
      <w:r>
        <w:rPr/>
        <w:t>affect</w:t>
      </w:r>
      <w:r>
        <w:rPr>
          <w:spacing w:val="37"/>
        </w:rPr>
        <w:t> </w:t>
      </w:r>
      <w:r>
        <w:rPr/>
        <w:t>the</w:t>
      </w:r>
      <w:r>
        <w:rPr>
          <w:spacing w:val="38"/>
        </w:rPr>
        <w:t> </w:t>
      </w:r>
      <w:r>
        <w:rPr/>
        <w:t>TLs</w:t>
      </w:r>
      <w:r>
        <w:rPr>
          <w:spacing w:val="40"/>
        </w:rPr>
        <w:t> </w:t>
      </w:r>
      <w:r>
        <w:rPr/>
        <w:t>in</w:t>
      </w:r>
      <w:r>
        <w:rPr>
          <w:spacing w:val="35"/>
        </w:rPr>
        <w:t> </w:t>
      </w:r>
      <w:r>
        <w:rPr/>
        <w:t>beam</w:t>
      </w:r>
      <w:r>
        <w:rPr>
          <w:spacing w:val="40"/>
        </w:rPr>
        <w:t> </w:t>
      </w:r>
      <w:r>
        <w:rPr/>
        <w:t>walk task.</w:t>
      </w:r>
      <w:r>
        <w:rPr>
          <w:spacing w:val="40"/>
        </w:rPr>
        <w:t> </w:t>
      </w:r>
      <w:r>
        <w:rPr/>
        <w:t>This</w:t>
      </w:r>
      <w:r>
        <w:rPr>
          <w:spacing w:val="40"/>
        </w:rPr>
        <w:t> </w:t>
      </w:r>
      <w:r>
        <w:rPr/>
        <w:t>finding</w:t>
      </w:r>
      <w:r>
        <w:rPr>
          <w:spacing w:val="36"/>
        </w:rPr>
        <w:t> </w:t>
      </w:r>
      <w:r>
        <w:rPr/>
        <w:t>corroborates</w:t>
      </w:r>
      <w:r>
        <w:rPr>
          <w:spacing w:val="40"/>
        </w:rPr>
        <w:t> </w:t>
      </w:r>
      <w:r>
        <w:rPr/>
        <w:t>other</w:t>
      </w:r>
      <w:r>
        <w:rPr>
          <w:spacing w:val="40"/>
        </w:rPr>
        <w:t> </w:t>
      </w:r>
      <w:r>
        <w:rPr/>
        <w:t>studies</w:t>
      </w:r>
      <w:r>
        <w:rPr>
          <w:spacing w:val="37"/>
        </w:rPr>
        <w:t> </w:t>
      </w:r>
      <w:r>
        <w:rPr/>
        <w:t>since</w:t>
      </w:r>
      <w:r>
        <w:rPr>
          <w:spacing w:val="40"/>
        </w:rPr>
        <w:t> </w:t>
      </w:r>
      <w:r>
        <w:rPr/>
        <w:t>the</w:t>
      </w:r>
      <w:r>
        <w:rPr>
          <w:spacing w:val="40"/>
        </w:rPr>
        <w:t> </w:t>
      </w:r>
      <w:r>
        <w:rPr/>
        <w:t>level</w:t>
      </w:r>
      <w:r>
        <w:rPr>
          <w:spacing w:val="38"/>
        </w:rPr>
        <w:t> </w:t>
      </w:r>
      <w:r>
        <w:rPr/>
        <w:t>of</w:t>
      </w:r>
      <w:r>
        <w:rPr>
          <w:spacing w:val="40"/>
        </w:rPr>
        <w:t> </w:t>
      </w:r>
      <w:r>
        <w:rPr/>
        <w:t>COHb</w:t>
      </w:r>
      <w:r>
        <w:rPr>
          <w:spacing w:val="40"/>
        </w:rPr>
        <w:t> </w:t>
      </w:r>
      <w:r>
        <w:rPr/>
        <w:t>in</w:t>
      </w:r>
      <w:r>
        <w:rPr>
          <w:spacing w:val="40"/>
        </w:rPr>
        <w:t> </w:t>
      </w:r>
      <w:r>
        <w:rPr/>
        <w:t>humans</w:t>
      </w:r>
      <w:r>
        <w:rPr>
          <w:spacing w:val="40"/>
        </w:rPr>
        <w:t> </w:t>
      </w:r>
      <w:r>
        <w:rPr/>
        <w:t>that will</w:t>
      </w:r>
      <w:r>
        <w:rPr>
          <w:spacing w:val="40"/>
        </w:rPr>
        <w:t> </w:t>
      </w:r>
      <w:r>
        <w:rPr/>
        <w:t>grossly</w:t>
      </w:r>
      <w:r>
        <w:rPr>
          <w:spacing w:val="40"/>
        </w:rPr>
        <w:t> </w:t>
      </w:r>
      <w:r>
        <w:rPr/>
        <w:t>affect</w:t>
      </w:r>
      <w:r>
        <w:rPr>
          <w:spacing w:val="40"/>
        </w:rPr>
        <w:t> </w:t>
      </w:r>
      <w:r>
        <w:rPr/>
        <w:t>movement</w:t>
      </w:r>
      <w:r>
        <w:rPr>
          <w:spacing w:val="40"/>
        </w:rPr>
        <w:t> </w:t>
      </w:r>
      <w:r>
        <w:rPr/>
        <w:t>is</w:t>
      </w:r>
      <w:r>
        <w:rPr>
          <w:spacing w:val="40"/>
        </w:rPr>
        <w:t> </w:t>
      </w:r>
      <w:r>
        <w:rPr/>
        <w:t>above this</w:t>
      </w:r>
      <w:r>
        <w:rPr>
          <w:spacing w:val="40"/>
        </w:rPr>
        <w:t> </w:t>
      </w:r>
      <w:r>
        <w:rPr/>
        <w:t>exposure</w:t>
      </w:r>
      <w:r>
        <w:rPr>
          <w:spacing w:val="40"/>
        </w:rPr>
        <w:t> </w:t>
      </w:r>
      <w:r>
        <w:rPr/>
        <w:t>concentration of 100</w:t>
      </w:r>
      <w:r>
        <w:rPr>
          <w:spacing w:val="40"/>
        </w:rPr>
        <w:t> </w:t>
      </w:r>
      <w:r>
        <w:rPr/>
        <w:t>- 150 ppm (2.06 %). World Health Organization’s Expert Panel on Air Quality Standards in 1994 reported that levels between 2 – 20 % can cause effects on visual perception levels, audition, motor, and sensory-motor functions, and behaviour. However, headaches, generalized weakness, fatigue and sleepiness were part of the vague symptomatology observed in human subjects with COHb levels below 20 % (Hampson </w:t>
      </w:r>
      <w:r>
        <w:rPr>
          <w:i/>
        </w:rPr>
        <w:t>et al</w:t>
      </w:r>
      <w:r>
        <w:rPr/>
        <w:t>., 2002). Dizziness</w:t>
      </w:r>
      <w:r>
        <w:rPr>
          <w:spacing w:val="40"/>
        </w:rPr>
        <w:t> </w:t>
      </w:r>
      <w:r>
        <w:rPr/>
        <w:t>is</w:t>
      </w:r>
      <w:r>
        <w:rPr>
          <w:spacing w:val="40"/>
        </w:rPr>
        <w:t> </w:t>
      </w:r>
      <w:r>
        <w:rPr/>
        <w:t>a</w:t>
      </w:r>
      <w:r>
        <w:rPr>
          <w:spacing w:val="40"/>
        </w:rPr>
        <w:t> </w:t>
      </w:r>
      <w:r>
        <w:rPr/>
        <w:t>frequent</w:t>
      </w:r>
      <w:r>
        <w:rPr>
          <w:spacing w:val="40"/>
        </w:rPr>
        <w:t> </w:t>
      </w:r>
      <w:r>
        <w:rPr/>
        <w:t>companion</w:t>
      </w:r>
      <w:r>
        <w:rPr>
          <w:spacing w:val="40"/>
        </w:rPr>
        <w:t> </w:t>
      </w:r>
      <w:r>
        <w:rPr/>
        <w:t>of</w:t>
      </w:r>
      <w:r>
        <w:rPr>
          <w:spacing w:val="40"/>
        </w:rPr>
        <w:t> </w:t>
      </w:r>
      <w:r>
        <w:rPr/>
        <w:t>headache</w:t>
      </w:r>
      <w:r>
        <w:rPr>
          <w:spacing w:val="40"/>
        </w:rPr>
        <w:t> </w:t>
      </w:r>
      <w:r>
        <w:rPr/>
        <w:t>and</w:t>
      </w:r>
      <w:r>
        <w:rPr>
          <w:spacing w:val="40"/>
        </w:rPr>
        <w:t> </w:t>
      </w:r>
      <w:r>
        <w:rPr/>
        <w:t>can</w:t>
      </w:r>
      <w:r>
        <w:rPr>
          <w:spacing w:val="40"/>
        </w:rPr>
        <w:t> </w:t>
      </w:r>
      <w:r>
        <w:rPr/>
        <w:t>be</w:t>
      </w:r>
      <w:r>
        <w:rPr>
          <w:spacing w:val="40"/>
        </w:rPr>
        <w:t> </w:t>
      </w:r>
      <w:r>
        <w:rPr/>
        <w:t>seen</w:t>
      </w:r>
      <w:r>
        <w:rPr>
          <w:spacing w:val="40"/>
        </w:rPr>
        <w:t> </w:t>
      </w:r>
      <w:r>
        <w:rPr/>
        <w:t>in</w:t>
      </w:r>
      <w:r>
        <w:rPr>
          <w:spacing w:val="40"/>
        </w:rPr>
        <w:t> </w:t>
      </w:r>
      <w:r>
        <w:rPr/>
        <w:t>about</w:t>
      </w:r>
      <w:r>
        <w:rPr>
          <w:spacing w:val="40"/>
        </w:rPr>
        <w:t> </w:t>
      </w:r>
      <w:r>
        <w:rPr/>
        <w:t>92</w:t>
      </w:r>
      <w:r>
        <w:rPr>
          <w:spacing w:val="40"/>
        </w:rPr>
        <w:t> </w:t>
      </w:r>
      <w:r>
        <w:rPr/>
        <w:t>%</w:t>
      </w:r>
      <w:r>
        <w:rPr>
          <w:spacing w:val="40"/>
        </w:rPr>
        <w:t> </w:t>
      </w:r>
      <w:r>
        <w:rPr/>
        <w:t>of victims of CO poisoning (Abelsohn </w:t>
      </w:r>
      <w:r>
        <w:rPr>
          <w:i/>
        </w:rPr>
        <w:t>et al</w:t>
      </w:r>
      <w:r>
        <w:rPr/>
        <w:t>., 2002). In a recent literature re-evaluation, however,</w:t>
      </w:r>
      <w:r>
        <w:rPr>
          <w:spacing w:val="15"/>
        </w:rPr>
        <w:t> </w:t>
      </w:r>
      <w:r>
        <w:rPr/>
        <w:t>the</w:t>
      </w:r>
      <w:r>
        <w:rPr>
          <w:spacing w:val="20"/>
        </w:rPr>
        <w:t> </w:t>
      </w:r>
      <w:r>
        <w:rPr/>
        <w:t>best</w:t>
      </w:r>
      <w:r>
        <w:rPr>
          <w:spacing w:val="14"/>
        </w:rPr>
        <w:t> </w:t>
      </w:r>
      <w:r>
        <w:rPr/>
        <w:t>estimate</w:t>
      </w:r>
      <w:r>
        <w:rPr>
          <w:spacing w:val="20"/>
        </w:rPr>
        <w:t> </w:t>
      </w:r>
      <w:r>
        <w:rPr/>
        <w:t>was</w:t>
      </w:r>
      <w:r>
        <w:rPr>
          <w:spacing w:val="18"/>
        </w:rPr>
        <w:t> </w:t>
      </w:r>
      <w:r>
        <w:rPr/>
        <w:t>that</w:t>
      </w:r>
      <w:r>
        <w:rPr>
          <w:spacing w:val="14"/>
        </w:rPr>
        <w:t> </w:t>
      </w:r>
      <w:r>
        <w:rPr/>
        <w:t>COHb</w:t>
      </w:r>
      <w:r>
        <w:rPr>
          <w:spacing w:val="23"/>
        </w:rPr>
        <w:t> </w:t>
      </w:r>
      <w:r>
        <w:rPr/>
        <w:t>would</w:t>
      </w:r>
      <w:r>
        <w:rPr>
          <w:spacing w:val="11"/>
        </w:rPr>
        <w:t> </w:t>
      </w:r>
      <w:r>
        <w:rPr/>
        <w:t>have</w:t>
      </w:r>
      <w:r>
        <w:rPr>
          <w:spacing w:val="20"/>
        </w:rPr>
        <w:t> </w:t>
      </w:r>
      <w:r>
        <w:rPr/>
        <w:t>to</w:t>
      </w:r>
      <w:r>
        <w:rPr>
          <w:spacing w:val="22"/>
        </w:rPr>
        <w:t> </w:t>
      </w:r>
      <w:r>
        <w:rPr/>
        <w:t>rise</w:t>
      </w:r>
      <w:r>
        <w:rPr>
          <w:spacing w:val="15"/>
        </w:rPr>
        <w:t> </w:t>
      </w:r>
      <w:r>
        <w:rPr/>
        <w:t>to</w:t>
      </w:r>
      <w:r>
        <w:rPr>
          <w:spacing w:val="16"/>
        </w:rPr>
        <w:t> </w:t>
      </w:r>
      <w:r>
        <w:rPr/>
        <w:t>15</w:t>
      </w:r>
      <w:r>
        <w:rPr>
          <w:spacing w:val="13"/>
        </w:rPr>
        <w:t> </w:t>
      </w:r>
      <w:r>
        <w:rPr/>
        <w:t>–</w:t>
      </w:r>
      <w:r>
        <w:rPr>
          <w:spacing w:val="22"/>
        </w:rPr>
        <w:t> </w:t>
      </w:r>
      <w:r>
        <w:rPr/>
        <w:t>20</w:t>
      </w:r>
      <w:r>
        <w:rPr>
          <w:spacing w:val="22"/>
        </w:rPr>
        <w:t> </w:t>
      </w:r>
      <w:r>
        <w:rPr/>
        <w:t>%</w:t>
      </w:r>
      <w:r>
        <w:rPr>
          <w:spacing w:val="14"/>
        </w:rPr>
        <w:t> </w:t>
      </w:r>
      <w:r>
        <w:rPr/>
        <w:t>before</w:t>
      </w:r>
      <w:r>
        <w:rPr>
          <w:spacing w:val="15"/>
        </w:rPr>
        <w:t> </w:t>
      </w:r>
      <w:r>
        <w:rPr/>
        <w:t>a</w:t>
      </w:r>
      <w:r>
        <w:rPr>
          <w:spacing w:val="15"/>
        </w:rPr>
        <w:t> </w:t>
      </w:r>
      <w:r>
        <w:rPr/>
        <w:t>10</w:t>
      </w:r>
    </w:p>
    <w:p>
      <w:pPr>
        <w:pStyle w:val="BodyText"/>
        <w:spacing w:before="7"/>
        <w:ind w:left="665"/>
        <w:jc w:val="both"/>
      </w:pPr>
      <w:r>
        <w:rPr/>
        <w:t>%</w:t>
      </w:r>
      <w:r>
        <w:rPr>
          <w:spacing w:val="13"/>
        </w:rPr>
        <w:t> </w:t>
      </w:r>
      <w:r>
        <w:rPr/>
        <w:t>reduction</w:t>
      </w:r>
      <w:r>
        <w:rPr>
          <w:spacing w:val="11"/>
        </w:rPr>
        <w:t> </w:t>
      </w:r>
      <w:r>
        <w:rPr/>
        <w:t>in</w:t>
      </w:r>
      <w:r>
        <w:rPr>
          <w:spacing w:val="11"/>
        </w:rPr>
        <w:t> </w:t>
      </w:r>
      <w:r>
        <w:rPr/>
        <w:t>any</w:t>
      </w:r>
      <w:r>
        <w:rPr>
          <w:spacing w:val="-1"/>
        </w:rPr>
        <w:t> </w:t>
      </w:r>
      <w:r>
        <w:rPr/>
        <w:t>behavioural</w:t>
      </w:r>
      <w:r>
        <w:rPr>
          <w:spacing w:val="14"/>
        </w:rPr>
        <w:t> </w:t>
      </w:r>
      <w:r>
        <w:rPr/>
        <w:t>or</w:t>
      </w:r>
      <w:r>
        <w:rPr>
          <w:spacing w:val="15"/>
        </w:rPr>
        <w:t> </w:t>
      </w:r>
      <w:r>
        <w:rPr/>
        <w:t>visual</w:t>
      </w:r>
      <w:r>
        <w:rPr>
          <w:spacing w:val="14"/>
        </w:rPr>
        <w:t> </w:t>
      </w:r>
      <w:r>
        <w:rPr/>
        <w:t>measurement</w:t>
      </w:r>
      <w:r>
        <w:rPr>
          <w:spacing w:val="13"/>
        </w:rPr>
        <w:t> </w:t>
      </w:r>
      <w:r>
        <w:rPr/>
        <w:t>could</w:t>
      </w:r>
      <w:r>
        <w:rPr>
          <w:spacing w:val="5"/>
        </w:rPr>
        <w:t> </w:t>
      </w:r>
      <w:r>
        <w:rPr/>
        <w:t>be</w:t>
      </w:r>
      <w:r>
        <w:rPr>
          <w:spacing w:val="9"/>
        </w:rPr>
        <w:t> </w:t>
      </w:r>
      <w:r>
        <w:rPr>
          <w:spacing w:val="-2"/>
        </w:rPr>
        <w:t>observed.</w:t>
      </w:r>
    </w:p>
    <w:p>
      <w:pPr>
        <w:pStyle w:val="BodyText"/>
      </w:pPr>
    </w:p>
    <w:p>
      <w:pPr>
        <w:pStyle w:val="BodyText"/>
      </w:pPr>
    </w:p>
    <w:p>
      <w:pPr>
        <w:pStyle w:val="BodyText"/>
        <w:spacing w:before="25"/>
      </w:pPr>
    </w:p>
    <w:p>
      <w:pPr>
        <w:pStyle w:val="BodyText"/>
        <w:spacing w:line="491" w:lineRule="auto"/>
        <w:ind w:left="608" w:right="887"/>
        <w:jc w:val="both"/>
      </w:pPr>
      <w:r>
        <w:rPr/>
        <w:t>There were no statistically significant differences between the control and experimental groups throughout the periods of exposure to CO. Absence of any difference between the control</w:t>
      </w:r>
      <w:r>
        <w:rPr>
          <w:spacing w:val="40"/>
        </w:rPr>
        <w:t> </w:t>
      </w:r>
      <w:r>
        <w:rPr/>
        <w:t>and</w:t>
      </w:r>
      <w:r>
        <w:rPr>
          <w:spacing w:val="40"/>
        </w:rPr>
        <w:t> </w:t>
      </w:r>
      <w:r>
        <w:rPr/>
        <w:t>the</w:t>
      </w:r>
      <w:r>
        <w:rPr>
          <w:spacing w:val="40"/>
        </w:rPr>
        <w:t> </w:t>
      </w:r>
      <w:r>
        <w:rPr/>
        <w:t>experimental</w:t>
      </w:r>
      <w:r>
        <w:rPr>
          <w:spacing w:val="40"/>
        </w:rPr>
        <w:t> </w:t>
      </w:r>
      <w:r>
        <w:rPr/>
        <w:t>groups</w:t>
      </w:r>
      <w:r>
        <w:rPr>
          <w:spacing w:val="40"/>
        </w:rPr>
        <w:t> </w:t>
      </w:r>
      <w:r>
        <w:rPr/>
        <w:t>could</w:t>
      </w:r>
      <w:r>
        <w:rPr>
          <w:spacing w:val="40"/>
        </w:rPr>
        <w:t> </w:t>
      </w:r>
      <w:r>
        <w:rPr/>
        <w:t>mean</w:t>
      </w:r>
      <w:r>
        <w:rPr>
          <w:spacing w:val="40"/>
        </w:rPr>
        <w:t> </w:t>
      </w:r>
      <w:r>
        <w:rPr/>
        <w:t>CO</w:t>
      </w:r>
      <w:r>
        <w:rPr>
          <w:spacing w:val="40"/>
        </w:rPr>
        <w:t> </w:t>
      </w:r>
      <w:r>
        <w:rPr/>
        <w:t>affect</w:t>
      </w:r>
      <w:r>
        <w:rPr>
          <w:spacing w:val="40"/>
        </w:rPr>
        <w:t> </w:t>
      </w:r>
      <w:r>
        <w:rPr/>
        <w:t>the</w:t>
      </w:r>
      <w:r>
        <w:rPr>
          <w:spacing w:val="40"/>
        </w:rPr>
        <w:t> </w:t>
      </w:r>
      <w:r>
        <w:rPr/>
        <w:t>performance</w:t>
      </w:r>
      <w:r>
        <w:rPr>
          <w:spacing w:val="40"/>
        </w:rPr>
        <w:t> </w:t>
      </w:r>
      <w:r>
        <w:rPr/>
        <w:t>in</w:t>
      </w:r>
      <w:r>
        <w:rPr>
          <w:spacing w:val="40"/>
        </w:rPr>
        <w:t> </w:t>
      </w:r>
      <w:r>
        <w:rPr/>
        <w:t>beam walk task only at</w:t>
      </w:r>
      <w:r>
        <w:rPr>
          <w:spacing w:val="30"/>
        </w:rPr>
        <w:t> </w:t>
      </w:r>
      <w:r>
        <w:rPr/>
        <w:t>higher/longer</w:t>
      </w:r>
      <w:r>
        <w:rPr>
          <w:spacing w:val="26"/>
        </w:rPr>
        <w:t> </w:t>
      </w:r>
      <w:r>
        <w:rPr/>
        <w:t>durations of</w:t>
      </w:r>
      <w:r>
        <w:rPr>
          <w:spacing w:val="26"/>
        </w:rPr>
        <w:t> </w:t>
      </w:r>
      <w:r>
        <w:rPr/>
        <w:t>exposure.</w:t>
      </w:r>
      <w:r>
        <w:rPr>
          <w:spacing w:val="29"/>
        </w:rPr>
        <w:t> </w:t>
      </w:r>
      <w:r>
        <w:rPr/>
        <w:t>Walker</w:t>
      </w:r>
      <w:r>
        <w:rPr>
          <w:spacing w:val="28"/>
        </w:rPr>
        <w:t> </w:t>
      </w:r>
      <w:r>
        <w:rPr>
          <w:i/>
        </w:rPr>
        <w:t>et al</w:t>
      </w:r>
      <w:r>
        <w:rPr/>
        <w:t>.</w:t>
      </w:r>
      <w:r>
        <w:rPr>
          <w:spacing w:val="26"/>
        </w:rPr>
        <w:t> </w:t>
      </w:r>
      <w:r>
        <w:rPr/>
        <w:t>(2001)</w:t>
      </w:r>
      <w:r>
        <w:rPr>
          <w:spacing w:val="26"/>
        </w:rPr>
        <w:t> </w:t>
      </w:r>
      <w:r>
        <w:rPr/>
        <w:t>suggest that the combined effect of increased atmospheric temperature, as experienced in the tropics, and CO poisoning can impair exercise performance and make daily chores like driving, climbing of stairs and long walks, a great task. Recently, a battery of ocular motor tasks was</w:t>
      </w:r>
      <w:r>
        <w:rPr>
          <w:spacing w:val="53"/>
        </w:rPr>
        <w:t> </w:t>
      </w:r>
      <w:r>
        <w:rPr/>
        <w:t>evaluated</w:t>
      </w:r>
      <w:r>
        <w:rPr>
          <w:spacing w:val="58"/>
        </w:rPr>
        <w:t> </w:t>
      </w:r>
      <w:r>
        <w:rPr/>
        <w:t>using</w:t>
      </w:r>
      <w:r>
        <w:rPr>
          <w:spacing w:val="47"/>
        </w:rPr>
        <w:t> </w:t>
      </w:r>
      <w:r>
        <w:rPr/>
        <w:t>the</w:t>
      </w:r>
      <w:r>
        <w:rPr>
          <w:spacing w:val="50"/>
        </w:rPr>
        <w:t> </w:t>
      </w:r>
      <w:r>
        <w:rPr/>
        <w:t>basic</w:t>
      </w:r>
      <w:r>
        <w:rPr>
          <w:spacing w:val="51"/>
        </w:rPr>
        <w:t> </w:t>
      </w:r>
      <w:r>
        <w:rPr/>
        <w:t>metrics</w:t>
      </w:r>
      <w:r>
        <w:rPr>
          <w:spacing w:val="53"/>
        </w:rPr>
        <w:t> </w:t>
      </w:r>
      <w:r>
        <w:rPr/>
        <w:t>of</w:t>
      </w:r>
      <w:r>
        <w:rPr>
          <w:spacing w:val="52"/>
        </w:rPr>
        <w:t> </w:t>
      </w:r>
      <w:r>
        <w:rPr/>
        <w:t>movements,</w:t>
      </w:r>
      <w:r>
        <w:rPr>
          <w:spacing w:val="56"/>
        </w:rPr>
        <w:t> </w:t>
      </w:r>
      <w:r>
        <w:rPr/>
        <w:t>and</w:t>
      </w:r>
      <w:r>
        <w:rPr>
          <w:spacing w:val="58"/>
        </w:rPr>
        <w:t> </w:t>
      </w:r>
      <w:r>
        <w:rPr/>
        <w:t>the</w:t>
      </w:r>
      <w:r>
        <w:rPr>
          <w:spacing w:val="61"/>
        </w:rPr>
        <w:t> </w:t>
      </w:r>
      <w:r>
        <w:rPr/>
        <w:t>higher-order</w:t>
      </w:r>
      <w:r>
        <w:rPr>
          <w:spacing w:val="57"/>
        </w:rPr>
        <w:t> </w:t>
      </w:r>
      <w:r>
        <w:rPr>
          <w:spacing w:val="-2"/>
        </w:rPr>
        <w:t>cognitive</w:t>
      </w:r>
    </w:p>
    <w:p>
      <w:pPr>
        <w:spacing w:after="0" w:line="491" w:lineRule="auto"/>
        <w:jc w:val="both"/>
        <w:sectPr>
          <w:pgSz w:w="12240" w:h="15840"/>
          <w:pgMar w:header="0" w:footer="916" w:top="1260" w:bottom="1100" w:left="1720" w:right="960"/>
        </w:sectPr>
      </w:pPr>
    </w:p>
    <w:p>
      <w:pPr>
        <w:pStyle w:val="BodyText"/>
        <w:spacing w:line="491" w:lineRule="auto" w:before="75"/>
        <w:ind w:left="608" w:right="881"/>
        <w:jc w:val="both"/>
      </w:pPr>
      <w:r>
        <w:rPr/>
        <w:t>control processes governing movement and the findings suggest subclinical deficits potentially reflecting damage to</w:t>
      </w:r>
      <w:r>
        <w:rPr>
          <w:spacing w:val="40"/>
        </w:rPr>
        <w:t> </w:t>
      </w:r>
      <w:r>
        <w:rPr/>
        <w:t>the</w:t>
      </w:r>
      <w:r>
        <w:rPr>
          <w:spacing w:val="37"/>
        </w:rPr>
        <w:t> </w:t>
      </w:r>
      <w:r>
        <w:rPr/>
        <w:t>Globus Pallidus</w:t>
      </w:r>
      <w:r>
        <w:rPr>
          <w:spacing w:val="35"/>
        </w:rPr>
        <w:t> </w:t>
      </w:r>
      <w:r>
        <w:rPr/>
        <w:t>not</w:t>
      </w:r>
      <w:r>
        <w:rPr>
          <w:spacing w:val="36"/>
        </w:rPr>
        <w:t> </w:t>
      </w:r>
      <w:r>
        <w:rPr/>
        <w:t>only attributed</w:t>
      </w:r>
      <w:r>
        <w:rPr>
          <w:spacing w:val="40"/>
        </w:rPr>
        <w:t> </w:t>
      </w:r>
      <w:r>
        <w:rPr/>
        <w:t>to</w:t>
      </w:r>
      <w:r>
        <w:rPr>
          <w:spacing w:val="40"/>
        </w:rPr>
        <w:t> </w:t>
      </w:r>
      <w:r>
        <w:rPr/>
        <w:t>necrosis</w:t>
      </w:r>
      <w:r>
        <w:rPr>
          <w:spacing w:val="40"/>
        </w:rPr>
        <w:t> </w:t>
      </w:r>
      <w:r>
        <w:rPr/>
        <w:t>but also to subsequent demyelination of the cerebral white matter as the principal driver of these deficits (Lang </w:t>
      </w:r>
      <w:r>
        <w:rPr>
          <w:i/>
        </w:rPr>
        <w:t>et al</w:t>
      </w:r>
      <w:r>
        <w:rPr/>
        <w:t>., 2010). It was further shown by the same authors that ocular motor measures sensitively characterize cognitive deficits that may otherwise be overlooked after CO poisoning, and that may benefit from intervention. In another study which examined the influence of exposure to ambient CO, resulting in final COHb levels</w:t>
      </w:r>
      <w:r>
        <w:rPr>
          <w:spacing w:val="40"/>
        </w:rPr>
        <w:t> </w:t>
      </w:r>
      <w:r>
        <w:rPr/>
        <w:t>of approximately 5.0 % on the ability to process information during motor performance, where five levels of tapping difficulty and digit manipulation were evaluated; motor performance was not influenced by exposure to CO and task difficulty was a significant factor mediating behavioural effects of CO exposure (International Archives of Occupational and Environmental Health (IAOEH), 1983).</w:t>
      </w:r>
    </w:p>
    <w:p>
      <w:pPr>
        <w:pStyle w:val="BodyText"/>
      </w:pPr>
    </w:p>
    <w:p>
      <w:pPr>
        <w:pStyle w:val="BodyText"/>
        <w:spacing w:before="115"/>
      </w:pPr>
    </w:p>
    <w:p>
      <w:pPr>
        <w:pStyle w:val="Heading2"/>
        <w:numPr>
          <w:ilvl w:val="1"/>
          <w:numId w:val="27"/>
        </w:numPr>
        <w:tabs>
          <w:tab w:pos="1009" w:val="left" w:leader="none"/>
        </w:tabs>
        <w:spacing w:line="240" w:lineRule="auto" w:before="1" w:after="0"/>
        <w:ind w:left="1009" w:right="0" w:hanging="344"/>
        <w:jc w:val="left"/>
      </w:pPr>
      <w:bookmarkStart w:name="_TOC_250006" w:id="51"/>
      <w:r>
        <w:rPr/>
        <w:t>BLOOD</w:t>
      </w:r>
      <w:r>
        <w:rPr>
          <w:spacing w:val="27"/>
        </w:rPr>
        <w:t> </w:t>
      </w:r>
      <w:r>
        <w:rPr/>
        <w:t>CARBOXYHAEMOGLOBIN</w:t>
      </w:r>
      <w:r>
        <w:rPr>
          <w:spacing w:val="35"/>
        </w:rPr>
        <w:t> </w:t>
      </w:r>
      <w:bookmarkEnd w:id="51"/>
      <w:r>
        <w:rPr>
          <w:spacing w:val="-4"/>
        </w:rPr>
        <w:t>LEVEL</w:t>
      </w:r>
    </w:p>
    <w:p>
      <w:pPr>
        <w:pStyle w:val="BodyText"/>
        <w:spacing w:before="7"/>
        <w:rPr>
          <w:b/>
        </w:rPr>
      </w:pPr>
    </w:p>
    <w:p>
      <w:pPr>
        <w:pStyle w:val="BodyText"/>
        <w:spacing w:line="491" w:lineRule="auto"/>
        <w:ind w:left="665" w:right="901"/>
        <w:jc w:val="both"/>
      </w:pPr>
      <w:r>
        <w:rPr/>
        <w:t>The</w:t>
      </w:r>
      <w:r>
        <w:rPr>
          <w:spacing w:val="34"/>
        </w:rPr>
        <w:t> </w:t>
      </w:r>
      <w:r>
        <w:rPr/>
        <w:t>blood</w:t>
      </w:r>
      <w:r>
        <w:rPr>
          <w:spacing w:val="40"/>
        </w:rPr>
        <w:t> </w:t>
      </w:r>
      <w:r>
        <w:rPr/>
        <w:t>COHb</w:t>
      </w:r>
      <w:r>
        <w:rPr>
          <w:spacing w:val="40"/>
        </w:rPr>
        <w:t> </w:t>
      </w:r>
      <w:r>
        <w:rPr/>
        <w:t>was</w:t>
      </w:r>
      <w:r>
        <w:rPr>
          <w:spacing w:val="37"/>
        </w:rPr>
        <w:t> </w:t>
      </w:r>
      <w:r>
        <w:rPr/>
        <w:t>estimated</w:t>
      </w:r>
      <w:r>
        <w:rPr>
          <w:spacing w:val="40"/>
        </w:rPr>
        <w:t> </w:t>
      </w:r>
      <w:r>
        <w:rPr/>
        <w:t>in</w:t>
      </w:r>
      <w:r>
        <w:rPr>
          <w:spacing w:val="36"/>
        </w:rPr>
        <w:t> </w:t>
      </w:r>
      <w:r>
        <w:rPr/>
        <w:t>both</w:t>
      </w:r>
      <w:r>
        <w:rPr>
          <w:spacing w:val="31"/>
        </w:rPr>
        <w:t> </w:t>
      </w:r>
      <w:r>
        <w:rPr/>
        <w:t>groups</w:t>
      </w:r>
      <w:r>
        <w:rPr>
          <w:spacing w:val="32"/>
        </w:rPr>
        <w:t> </w:t>
      </w:r>
      <w:r>
        <w:rPr/>
        <w:t>at</w:t>
      </w:r>
      <w:r>
        <w:rPr>
          <w:spacing w:val="38"/>
        </w:rPr>
        <w:t> </w:t>
      </w:r>
      <w:r>
        <w:rPr/>
        <w:t>the</w:t>
      </w:r>
      <w:r>
        <w:rPr>
          <w:spacing w:val="38"/>
        </w:rPr>
        <w:t> </w:t>
      </w:r>
      <w:r>
        <w:rPr/>
        <w:t>end</w:t>
      </w:r>
      <w:r>
        <w:rPr>
          <w:spacing w:val="40"/>
        </w:rPr>
        <w:t> </w:t>
      </w:r>
      <w:r>
        <w:rPr/>
        <w:t>of</w:t>
      </w:r>
      <w:r>
        <w:rPr>
          <w:spacing w:val="35"/>
        </w:rPr>
        <w:t> </w:t>
      </w:r>
      <w:r>
        <w:rPr/>
        <w:t>the</w:t>
      </w:r>
      <w:r>
        <w:rPr>
          <w:spacing w:val="34"/>
        </w:rPr>
        <w:t> </w:t>
      </w:r>
      <w:r>
        <w:rPr/>
        <w:t>study.</w:t>
      </w:r>
      <w:r>
        <w:rPr>
          <w:spacing w:val="39"/>
        </w:rPr>
        <w:t> </w:t>
      </w:r>
      <w:r>
        <w:rPr/>
        <w:t>Mean</w:t>
      </w:r>
      <w:r>
        <w:rPr>
          <w:spacing w:val="36"/>
        </w:rPr>
        <w:t> </w:t>
      </w:r>
      <w:r>
        <w:rPr/>
        <w:t>COHb level estimated</w:t>
      </w:r>
      <w:r>
        <w:rPr>
          <w:spacing w:val="40"/>
        </w:rPr>
        <w:t> </w:t>
      </w:r>
      <w:r>
        <w:rPr/>
        <w:t>was found</w:t>
      </w:r>
      <w:r>
        <w:rPr>
          <w:spacing w:val="40"/>
        </w:rPr>
        <w:t> </w:t>
      </w:r>
      <w:r>
        <w:rPr/>
        <w:t>to be higher</w:t>
      </w:r>
      <w:r>
        <w:rPr>
          <w:spacing w:val="40"/>
        </w:rPr>
        <w:t> </w:t>
      </w:r>
      <w:r>
        <w:rPr/>
        <w:t>in the exposed</w:t>
      </w:r>
      <w:r>
        <w:rPr>
          <w:spacing w:val="40"/>
        </w:rPr>
        <w:t> </w:t>
      </w:r>
      <w:r>
        <w:rPr/>
        <w:t>group</w:t>
      </w:r>
      <w:r>
        <w:rPr>
          <w:spacing w:val="40"/>
        </w:rPr>
        <w:t> </w:t>
      </w:r>
      <w:r>
        <w:rPr/>
        <w:t>than the control. Only a small amount of CO in the body was from endogenous production, larger percentage of CO was from exogenous sources. The estimated blood COHb level found in the experimental group was comparable to CO exposure of 15 ppm deduced from the CFK table (Appendix IX). Even though dose of CO exposure in this study</w:t>
      </w:r>
      <w:r>
        <w:rPr>
          <w:spacing w:val="-1"/>
        </w:rPr>
        <w:t> </w:t>
      </w:r>
      <w:r>
        <w:rPr/>
        <w:t>was in the range of 100 - 150 ppm, lower blood COHb levels were recorded. This might not be far from the fact that the method of exposure used in the study was partial, providing some fresh air ventilation to the experimental animals. Prolonged time between exposure to CO and blood collection could have contributed also to the low % COHb in the blood sample</w:t>
      </w:r>
      <w:r>
        <w:rPr>
          <w:spacing w:val="40"/>
        </w:rPr>
        <w:t> </w:t>
      </w:r>
      <w:r>
        <w:rPr/>
        <w:t>when</w:t>
      </w:r>
      <w:r>
        <w:rPr>
          <w:spacing w:val="40"/>
        </w:rPr>
        <w:t> </w:t>
      </w:r>
      <w:r>
        <w:rPr/>
        <w:t>compared</w:t>
      </w:r>
      <w:r>
        <w:rPr>
          <w:spacing w:val="46"/>
        </w:rPr>
        <w:t> </w:t>
      </w:r>
      <w:r>
        <w:rPr/>
        <w:t>to</w:t>
      </w:r>
      <w:r>
        <w:rPr>
          <w:spacing w:val="39"/>
        </w:rPr>
        <w:t> </w:t>
      </w:r>
      <w:r>
        <w:rPr/>
        <w:t>the</w:t>
      </w:r>
      <w:r>
        <w:rPr>
          <w:spacing w:val="39"/>
        </w:rPr>
        <w:t> </w:t>
      </w:r>
      <w:r>
        <w:rPr/>
        <w:t>exposure</w:t>
      </w:r>
      <w:r>
        <w:rPr>
          <w:spacing w:val="33"/>
        </w:rPr>
        <w:t> </w:t>
      </w:r>
      <w:r>
        <w:rPr/>
        <w:t>dose.</w:t>
      </w:r>
      <w:r>
        <w:rPr>
          <w:spacing w:val="44"/>
        </w:rPr>
        <w:t> </w:t>
      </w:r>
      <w:r>
        <w:rPr/>
        <w:t>It</w:t>
      </w:r>
      <w:r>
        <w:rPr>
          <w:spacing w:val="43"/>
        </w:rPr>
        <w:t> </w:t>
      </w:r>
      <w:r>
        <w:rPr/>
        <w:t>will</w:t>
      </w:r>
      <w:r>
        <w:rPr>
          <w:spacing w:val="38"/>
        </w:rPr>
        <w:t> </w:t>
      </w:r>
      <w:r>
        <w:rPr/>
        <w:t>be</w:t>
      </w:r>
      <w:r>
        <w:rPr>
          <w:spacing w:val="38"/>
        </w:rPr>
        <w:t> </w:t>
      </w:r>
      <w:r>
        <w:rPr/>
        <w:t>stressed</w:t>
      </w:r>
      <w:r>
        <w:rPr>
          <w:spacing w:val="45"/>
        </w:rPr>
        <w:t> </w:t>
      </w:r>
      <w:r>
        <w:rPr/>
        <w:t>here</w:t>
      </w:r>
      <w:r>
        <w:rPr>
          <w:spacing w:val="43"/>
        </w:rPr>
        <w:t> </w:t>
      </w:r>
      <w:r>
        <w:rPr/>
        <w:t>that,</w:t>
      </w:r>
      <w:r>
        <w:rPr>
          <w:spacing w:val="44"/>
        </w:rPr>
        <w:t> </w:t>
      </w:r>
      <w:r>
        <w:rPr/>
        <w:t>if</w:t>
      </w:r>
      <w:r>
        <w:rPr>
          <w:spacing w:val="34"/>
        </w:rPr>
        <w:t> </w:t>
      </w:r>
      <w:r>
        <w:rPr/>
        <w:t>at</w:t>
      </w:r>
      <w:r>
        <w:rPr>
          <w:spacing w:val="43"/>
        </w:rPr>
        <w:t> </w:t>
      </w:r>
      <w:r>
        <w:rPr/>
        <w:t>this</w:t>
      </w:r>
      <w:r>
        <w:rPr>
          <w:spacing w:val="42"/>
        </w:rPr>
        <w:t> </w:t>
      </w:r>
      <w:r>
        <w:rPr/>
        <w:t>level</w:t>
      </w:r>
      <w:r>
        <w:rPr>
          <w:spacing w:val="38"/>
        </w:rPr>
        <w:t> </w:t>
      </w:r>
      <w:r>
        <w:rPr>
          <w:spacing w:val="-5"/>
        </w:rPr>
        <w:t>of</w:t>
      </w:r>
    </w:p>
    <w:p>
      <w:pPr>
        <w:spacing w:after="0" w:line="491" w:lineRule="auto"/>
        <w:jc w:val="both"/>
        <w:sectPr>
          <w:pgSz w:w="12240" w:h="15840"/>
          <w:pgMar w:header="0" w:footer="916" w:top="1260" w:bottom="1100" w:left="1720" w:right="960"/>
        </w:sectPr>
      </w:pPr>
    </w:p>
    <w:p>
      <w:pPr>
        <w:pStyle w:val="BodyText"/>
        <w:spacing w:line="491" w:lineRule="auto" w:before="75"/>
        <w:ind w:left="665" w:right="896"/>
        <w:jc w:val="both"/>
      </w:pPr>
      <w:r>
        <w:rPr/>
        <w:t>COHb</w:t>
      </w:r>
      <w:r>
        <w:rPr>
          <w:spacing w:val="40"/>
        </w:rPr>
        <w:t> </w:t>
      </w:r>
      <w:r>
        <w:rPr/>
        <w:t>(2.06</w:t>
      </w:r>
      <w:r>
        <w:rPr>
          <w:spacing w:val="40"/>
        </w:rPr>
        <w:t> </w:t>
      </w:r>
      <w:r>
        <w:rPr/>
        <w:t>%)</w:t>
      </w:r>
      <w:r>
        <w:rPr>
          <w:spacing w:val="40"/>
        </w:rPr>
        <w:t> </w:t>
      </w:r>
      <w:r>
        <w:rPr/>
        <w:t>such effects were recorded, higher</w:t>
      </w:r>
      <w:r>
        <w:rPr>
          <w:spacing w:val="40"/>
        </w:rPr>
        <w:t> </w:t>
      </w:r>
      <w:r>
        <w:rPr/>
        <w:t>doses may likely produce more </w:t>
      </w:r>
      <w:r>
        <w:rPr>
          <w:spacing w:val="-2"/>
        </w:rPr>
        <w:t>effects.</w:t>
      </w:r>
    </w:p>
    <w:p>
      <w:pPr>
        <w:pStyle w:val="BodyText"/>
      </w:pPr>
    </w:p>
    <w:p>
      <w:pPr>
        <w:pStyle w:val="BodyText"/>
        <w:spacing w:before="12"/>
      </w:pPr>
    </w:p>
    <w:p>
      <w:pPr>
        <w:pStyle w:val="BodyText"/>
        <w:spacing w:line="491" w:lineRule="auto"/>
        <w:ind w:left="665" w:right="892"/>
        <w:jc w:val="both"/>
      </w:pPr>
      <w:r>
        <w:rPr/>
        <w:t>Non-smokers living away from urban areas have COHb levels of 0.4 – 1.0%, reflecting endogenous</w:t>
      </w:r>
      <w:r>
        <w:rPr>
          <w:spacing w:val="40"/>
        </w:rPr>
        <w:t> </w:t>
      </w:r>
      <w:r>
        <w:rPr/>
        <w:t>CO</w:t>
      </w:r>
      <w:r>
        <w:rPr>
          <w:spacing w:val="39"/>
        </w:rPr>
        <w:t> </w:t>
      </w:r>
      <w:r>
        <w:rPr/>
        <w:t>production,</w:t>
      </w:r>
      <w:r>
        <w:rPr>
          <w:spacing w:val="40"/>
        </w:rPr>
        <w:t> </w:t>
      </w:r>
      <w:r>
        <w:rPr/>
        <w:t>whereas</w:t>
      </w:r>
      <w:r>
        <w:rPr>
          <w:spacing w:val="40"/>
        </w:rPr>
        <w:t> </w:t>
      </w:r>
      <w:r>
        <w:rPr/>
        <w:t>levels</w:t>
      </w:r>
      <w:r>
        <w:rPr>
          <w:spacing w:val="40"/>
        </w:rPr>
        <w:t> </w:t>
      </w:r>
      <w:r>
        <w:rPr/>
        <w:t>up</w:t>
      </w:r>
      <w:r>
        <w:rPr>
          <w:spacing w:val="40"/>
        </w:rPr>
        <w:t> </w:t>
      </w:r>
      <w:r>
        <w:rPr/>
        <w:t>to</w:t>
      </w:r>
      <w:r>
        <w:rPr>
          <w:spacing w:val="40"/>
        </w:rPr>
        <w:t> </w:t>
      </w:r>
      <w:r>
        <w:rPr/>
        <w:t>5%</w:t>
      </w:r>
      <w:r>
        <w:rPr>
          <w:spacing w:val="40"/>
        </w:rPr>
        <w:t> </w:t>
      </w:r>
      <w:r>
        <w:rPr/>
        <w:t>may be</w:t>
      </w:r>
      <w:r>
        <w:rPr>
          <w:spacing w:val="38"/>
        </w:rPr>
        <w:t> </w:t>
      </w:r>
      <w:r>
        <w:rPr/>
        <w:t>considered</w:t>
      </w:r>
      <w:r>
        <w:rPr>
          <w:spacing w:val="40"/>
        </w:rPr>
        <w:t> </w:t>
      </w:r>
      <w:r>
        <w:rPr/>
        <w:t>normal</w:t>
      </w:r>
      <w:r>
        <w:rPr>
          <w:spacing w:val="37"/>
        </w:rPr>
        <w:t> </w:t>
      </w:r>
      <w:r>
        <w:rPr/>
        <w:t>in</w:t>
      </w:r>
      <w:r>
        <w:rPr>
          <w:spacing w:val="35"/>
        </w:rPr>
        <w:t> </w:t>
      </w:r>
      <w:r>
        <w:rPr/>
        <w:t>a busy urban or industrial setting (Craig </w:t>
      </w:r>
      <w:r>
        <w:rPr>
          <w:i/>
        </w:rPr>
        <w:t>et al</w:t>
      </w:r>
      <w:r>
        <w:rPr/>
        <w:t>., 2010). A value in compliant with the endogenous production was found in the control group of this study. However, in the experimental group, a value up to 2.06% was found, which reflects values equivalent to that</w:t>
      </w:r>
      <w:r>
        <w:rPr>
          <w:spacing w:val="31"/>
        </w:rPr>
        <w:t> </w:t>
      </w:r>
      <w:r>
        <w:rPr/>
        <w:t>of</w:t>
      </w:r>
      <w:r>
        <w:rPr>
          <w:spacing w:val="27"/>
        </w:rPr>
        <w:t> </w:t>
      </w:r>
      <w:r>
        <w:rPr/>
        <w:t>smokers</w:t>
      </w:r>
      <w:r>
        <w:rPr>
          <w:spacing w:val="29"/>
        </w:rPr>
        <w:t> </w:t>
      </w:r>
      <w:r>
        <w:rPr/>
        <w:t>(2</w:t>
      </w:r>
      <w:r>
        <w:rPr>
          <w:spacing w:val="40"/>
        </w:rPr>
        <w:t> </w:t>
      </w:r>
      <w:r>
        <w:rPr/>
        <w:t>-</w:t>
      </w:r>
      <w:r>
        <w:rPr>
          <w:spacing w:val="33"/>
        </w:rPr>
        <w:t> </w:t>
      </w:r>
      <w:r>
        <w:rPr/>
        <w:t>15%)</w:t>
      </w:r>
      <w:r>
        <w:rPr>
          <w:spacing w:val="27"/>
        </w:rPr>
        <w:t> </w:t>
      </w:r>
      <w:r>
        <w:rPr/>
        <w:t>or</w:t>
      </w:r>
      <w:r>
        <w:rPr>
          <w:spacing w:val="33"/>
        </w:rPr>
        <w:t> </w:t>
      </w:r>
      <w:r>
        <w:rPr/>
        <w:t>urban</w:t>
      </w:r>
      <w:r>
        <w:rPr>
          <w:spacing w:val="28"/>
        </w:rPr>
        <w:t> </w:t>
      </w:r>
      <w:r>
        <w:rPr/>
        <w:t>dwellers</w:t>
      </w:r>
      <w:r>
        <w:rPr>
          <w:spacing w:val="31"/>
        </w:rPr>
        <w:t> </w:t>
      </w:r>
      <w:r>
        <w:rPr/>
        <w:t>(2</w:t>
      </w:r>
      <w:r>
        <w:rPr>
          <w:spacing w:val="34"/>
        </w:rPr>
        <w:t> </w:t>
      </w:r>
      <w:r>
        <w:rPr/>
        <w:t>-</w:t>
      </w:r>
      <w:r>
        <w:rPr>
          <w:spacing w:val="27"/>
        </w:rPr>
        <w:t> </w:t>
      </w:r>
      <w:r>
        <w:rPr/>
        <w:t>5%).</w:t>
      </w:r>
      <w:r>
        <w:rPr>
          <w:spacing w:val="80"/>
        </w:rPr>
        <w:t> </w:t>
      </w:r>
      <w:r>
        <w:rPr/>
        <w:t>Prenatal</w:t>
      </w:r>
      <w:r>
        <w:rPr>
          <w:spacing w:val="36"/>
        </w:rPr>
        <w:t> </w:t>
      </w:r>
      <w:r>
        <w:rPr/>
        <w:t>low-level</w:t>
      </w:r>
      <w:r>
        <w:rPr>
          <w:spacing w:val="25"/>
        </w:rPr>
        <w:t> </w:t>
      </w:r>
      <w:r>
        <w:rPr/>
        <w:t>exposure of rats</w:t>
      </w:r>
      <w:r>
        <w:rPr>
          <w:spacing w:val="40"/>
        </w:rPr>
        <w:t> </w:t>
      </w:r>
      <w:r>
        <w:rPr/>
        <w:t>to</w:t>
      </w:r>
      <w:r>
        <w:rPr>
          <w:spacing w:val="40"/>
        </w:rPr>
        <w:t> </w:t>
      </w:r>
      <w:r>
        <w:rPr/>
        <w:t>150</w:t>
      </w:r>
      <w:r>
        <w:rPr>
          <w:spacing w:val="40"/>
        </w:rPr>
        <w:t> </w:t>
      </w:r>
      <w:r>
        <w:rPr/>
        <w:t>ppm</w:t>
      </w:r>
      <w:r>
        <w:rPr>
          <w:spacing w:val="40"/>
        </w:rPr>
        <w:t> </w:t>
      </w:r>
      <w:r>
        <w:rPr/>
        <w:t>resulted</w:t>
      </w:r>
      <w:r>
        <w:rPr>
          <w:spacing w:val="40"/>
        </w:rPr>
        <w:t> </w:t>
      </w:r>
      <w:r>
        <w:rPr/>
        <w:t>in</w:t>
      </w:r>
      <w:r>
        <w:rPr>
          <w:spacing w:val="40"/>
        </w:rPr>
        <w:t> </w:t>
      </w:r>
      <w:r>
        <w:rPr/>
        <w:t>COHb</w:t>
      </w:r>
      <w:r>
        <w:rPr>
          <w:spacing w:val="40"/>
        </w:rPr>
        <w:t> </w:t>
      </w:r>
      <w:r>
        <w:rPr/>
        <w:t>levels</w:t>
      </w:r>
      <w:r>
        <w:rPr>
          <w:spacing w:val="40"/>
        </w:rPr>
        <w:t> </w:t>
      </w:r>
      <w:r>
        <w:rPr/>
        <w:t>equivalent</w:t>
      </w:r>
      <w:r>
        <w:rPr>
          <w:spacing w:val="40"/>
        </w:rPr>
        <w:t> </w:t>
      </w:r>
      <w:r>
        <w:rPr/>
        <w:t>to</w:t>
      </w:r>
      <w:r>
        <w:rPr>
          <w:spacing w:val="40"/>
        </w:rPr>
        <w:t> </w:t>
      </w:r>
      <w:r>
        <w:rPr/>
        <w:t>those</w:t>
      </w:r>
      <w:r>
        <w:rPr>
          <w:spacing w:val="40"/>
        </w:rPr>
        <w:t> </w:t>
      </w:r>
      <w:r>
        <w:rPr/>
        <w:t>observed</w:t>
      </w:r>
      <w:r>
        <w:rPr>
          <w:spacing w:val="40"/>
        </w:rPr>
        <w:t> </w:t>
      </w:r>
      <w:r>
        <w:rPr/>
        <w:t>in</w:t>
      </w:r>
      <w:r>
        <w:rPr>
          <w:spacing w:val="40"/>
        </w:rPr>
        <w:t> </w:t>
      </w:r>
      <w:r>
        <w:rPr/>
        <w:t>human cigarette smokers (Andrea </w:t>
      </w:r>
      <w:r>
        <w:rPr>
          <w:i/>
        </w:rPr>
        <w:t>et al</w:t>
      </w:r>
      <w:r>
        <w:rPr/>
        <w:t>., 2001). The use of % COHb as a measure of severity</w:t>
      </w:r>
      <w:r>
        <w:rPr>
          <w:spacing w:val="-2"/>
        </w:rPr>
        <w:t> </w:t>
      </w:r>
      <w:r>
        <w:rPr/>
        <w:t>of CO poisoning, or to predict treatment options, was limited because COHb levels are affected by a lot of factors like ventilation, partial pressure of O</w:t>
      </w:r>
      <w:r>
        <w:rPr>
          <w:vertAlign w:val="subscript"/>
        </w:rPr>
        <w:t>2</w:t>
      </w:r>
      <w:r>
        <w:rPr>
          <w:vertAlign w:val="baseline"/>
        </w:rPr>
        <w:t> in the air and other co- morbidities like heart disease (Craig </w:t>
      </w:r>
      <w:r>
        <w:rPr>
          <w:i/>
          <w:vertAlign w:val="baseline"/>
        </w:rPr>
        <w:t>et al</w:t>
      </w:r>
      <w:r>
        <w:rPr>
          <w:vertAlign w:val="baseline"/>
        </w:rPr>
        <w:t>., 2010). Attempts made in the past to equate symptoms and signs to different COHb levels failed, but it was generally accepted that COHb</w:t>
      </w:r>
      <w:r>
        <w:rPr>
          <w:spacing w:val="40"/>
          <w:vertAlign w:val="baseline"/>
        </w:rPr>
        <w:t> </w:t>
      </w:r>
      <w:r>
        <w:rPr>
          <w:vertAlign w:val="baseline"/>
        </w:rPr>
        <w:t>levels</w:t>
      </w:r>
      <w:r>
        <w:rPr>
          <w:spacing w:val="40"/>
          <w:vertAlign w:val="baseline"/>
        </w:rPr>
        <w:t> </w:t>
      </w:r>
      <w:r>
        <w:rPr>
          <w:vertAlign w:val="baseline"/>
        </w:rPr>
        <w:t>in</w:t>
      </w:r>
      <w:r>
        <w:rPr>
          <w:spacing w:val="40"/>
          <w:vertAlign w:val="baseline"/>
        </w:rPr>
        <w:t> </w:t>
      </w:r>
      <w:r>
        <w:rPr>
          <w:vertAlign w:val="baseline"/>
        </w:rPr>
        <w:t>an</w:t>
      </w:r>
      <w:r>
        <w:rPr>
          <w:spacing w:val="40"/>
          <w:vertAlign w:val="baseline"/>
        </w:rPr>
        <w:t> </w:t>
      </w:r>
      <w:r>
        <w:rPr>
          <w:vertAlign w:val="baseline"/>
        </w:rPr>
        <w:t>acutely</w:t>
      </w:r>
      <w:r>
        <w:rPr>
          <w:spacing w:val="28"/>
          <w:vertAlign w:val="baseline"/>
        </w:rPr>
        <w:t> </w:t>
      </w:r>
      <w:r>
        <w:rPr>
          <w:vertAlign w:val="baseline"/>
        </w:rPr>
        <w:t>poisoned</w:t>
      </w:r>
      <w:r>
        <w:rPr>
          <w:spacing w:val="40"/>
          <w:vertAlign w:val="baseline"/>
        </w:rPr>
        <w:t> </w:t>
      </w:r>
      <w:r>
        <w:rPr>
          <w:vertAlign w:val="baseline"/>
        </w:rPr>
        <w:t>person</w:t>
      </w:r>
      <w:r>
        <w:rPr>
          <w:spacing w:val="34"/>
          <w:vertAlign w:val="baseline"/>
        </w:rPr>
        <w:t> </w:t>
      </w:r>
      <w:r>
        <w:rPr>
          <w:vertAlign w:val="baseline"/>
        </w:rPr>
        <w:t>only</w:t>
      </w:r>
      <w:r>
        <w:rPr>
          <w:spacing w:val="40"/>
          <w:vertAlign w:val="baseline"/>
        </w:rPr>
        <w:t> </w:t>
      </w:r>
      <w:r>
        <w:rPr>
          <w:vertAlign w:val="baseline"/>
        </w:rPr>
        <w:t>roughly</w:t>
      </w:r>
      <w:r>
        <w:rPr>
          <w:spacing w:val="34"/>
          <w:vertAlign w:val="baseline"/>
        </w:rPr>
        <w:t> </w:t>
      </w:r>
      <w:r>
        <w:rPr>
          <w:vertAlign w:val="baseline"/>
        </w:rPr>
        <w:t>correlate</w:t>
      </w:r>
      <w:r>
        <w:rPr>
          <w:spacing w:val="40"/>
          <w:vertAlign w:val="baseline"/>
        </w:rPr>
        <w:t> </w:t>
      </w:r>
      <w:r>
        <w:rPr>
          <w:vertAlign w:val="baseline"/>
        </w:rPr>
        <w:t>with</w:t>
      </w:r>
      <w:r>
        <w:rPr>
          <w:spacing w:val="34"/>
          <w:vertAlign w:val="baseline"/>
        </w:rPr>
        <w:t> </w:t>
      </w:r>
      <w:r>
        <w:rPr>
          <w:vertAlign w:val="baseline"/>
        </w:rPr>
        <w:t>clinical</w:t>
      </w:r>
      <w:r>
        <w:rPr>
          <w:spacing w:val="40"/>
          <w:vertAlign w:val="baseline"/>
        </w:rPr>
        <w:t> </w:t>
      </w:r>
      <w:r>
        <w:rPr>
          <w:vertAlign w:val="baseline"/>
        </w:rPr>
        <w:t>signs and</w:t>
      </w:r>
      <w:r>
        <w:rPr>
          <w:spacing w:val="40"/>
          <w:vertAlign w:val="baseline"/>
        </w:rPr>
        <w:t> </w:t>
      </w:r>
      <w:r>
        <w:rPr>
          <w:vertAlign w:val="baseline"/>
        </w:rPr>
        <w:t>symptoms,</w:t>
      </w:r>
      <w:r>
        <w:rPr>
          <w:spacing w:val="40"/>
          <w:vertAlign w:val="baseline"/>
        </w:rPr>
        <w:t> </w:t>
      </w:r>
      <w:r>
        <w:rPr>
          <w:vertAlign w:val="baseline"/>
        </w:rPr>
        <w:t>especially</w:t>
      </w:r>
      <w:r>
        <w:rPr>
          <w:spacing w:val="40"/>
          <w:vertAlign w:val="baseline"/>
        </w:rPr>
        <w:t> </w:t>
      </w:r>
      <w:r>
        <w:rPr>
          <w:vertAlign w:val="baseline"/>
        </w:rPr>
        <w:t>those</w:t>
      </w:r>
      <w:r>
        <w:rPr>
          <w:spacing w:val="40"/>
          <w:vertAlign w:val="baseline"/>
        </w:rPr>
        <w:t> </w:t>
      </w:r>
      <w:r>
        <w:rPr>
          <w:vertAlign w:val="baseline"/>
        </w:rPr>
        <w:t>relating</w:t>
      </w:r>
      <w:r>
        <w:rPr>
          <w:spacing w:val="40"/>
          <w:vertAlign w:val="baseline"/>
        </w:rPr>
        <w:t> </w:t>
      </w:r>
      <w:r>
        <w:rPr>
          <w:vertAlign w:val="baseline"/>
        </w:rPr>
        <w:t>to</w:t>
      </w:r>
      <w:r>
        <w:rPr>
          <w:spacing w:val="40"/>
          <w:vertAlign w:val="baseline"/>
        </w:rPr>
        <w:t> </w:t>
      </w:r>
      <w:r>
        <w:rPr>
          <w:vertAlign w:val="baseline"/>
        </w:rPr>
        <w:t>neurological</w:t>
      </w:r>
      <w:r>
        <w:rPr>
          <w:spacing w:val="40"/>
          <w:vertAlign w:val="baseline"/>
        </w:rPr>
        <w:t> </w:t>
      </w:r>
      <w:r>
        <w:rPr>
          <w:vertAlign w:val="baseline"/>
        </w:rPr>
        <w:t>function</w:t>
      </w:r>
      <w:r>
        <w:rPr>
          <w:spacing w:val="40"/>
          <w:vertAlign w:val="baseline"/>
        </w:rPr>
        <w:t> </w:t>
      </w:r>
      <w:r>
        <w:rPr>
          <w:vertAlign w:val="baseline"/>
        </w:rPr>
        <w:t>(USEPA,</w:t>
      </w:r>
      <w:r>
        <w:rPr>
          <w:spacing w:val="40"/>
          <w:vertAlign w:val="baseline"/>
        </w:rPr>
        <w:t> </w:t>
      </w:r>
      <w:r>
        <w:rPr>
          <w:vertAlign w:val="baseline"/>
        </w:rPr>
        <w:t>2007). Earlier</w:t>
      </w:r>
      <w:r>
        <w:rPr>
          <w:spacing w:val="33"/>
          <w:vertAlign w:val="baseline"/>
        </w:rPr>
        <w:t> </w:t>
      </w:r>
      <w:r>
        <w:rPr>
          <w:vertAlign w:val="baseline"/>
        </w:rPr>
        <w:t>studies</w:t>
      </w:r>
      <w:r>
        <w:rPr>
          <w:spacing w:val="31"/>
          <w:vertAlign w:val="baseline"/>
        </w:rPr>
        <w:t> </w:t>
      </w:r>
      <w:r>
        <w:rPr>
          <w:vertAlign w:val="baseline"/>
        </w:rPr>
        <w:t>also</w:t>
      </w:r>
      <w:r>
        <w:rPr>
          <w:spacing w:val="34"/>
          <w:vertAlign w:val="baseline"/>
        </w:rPr>
        <w:t> </w:t>
      </w:r>
      <w:r>
        <w:rPr>
          <w:vertAlign w:val="baseline"/>
        </w:rPr>
        <w:t>attempted</w:t>
      </w:r>
      <w:r>
        <w:rPr>
          <w:spacing w:val="34"/>
          <w:vertAlign w:val="baseline"/>
        </w:rPr>
        <w:t> </w:t>
      </w:r>
      <w:r>
        <w:rPr>
          <w:vertAlign w:val="baseline"/>
        </w:rPr>
        <w:t>to</w:t>
      </w:r>
      <w:r>
        <w:rPr>
          <w:spacing w:val="28"/>
          <w:vertAlign w:val="baseline"/>
        </w:rPr>
        <w:t> </w:t>
      </w:r>
      <w:r>
        <w:rPr>
          <w:vertAlign w:val="baseline"/>
        </w:rPr>
        <w:t>differentiate between</w:t>
      </w:r>
      <w:r>
        <w:rPr>
          <w:spacing w:val="28"/>
          <w:vertAlign w:val="baseline"/>
        </w:rPr>
        <w:t> </w:t>
      </w:r>
      <w:r>
        <w:rPr>
          <w:vertAlign w:val="baseline"/>
        </w:rPr>
        <w:t>smokers</w:t>
      </w:r>
      <w:r>
        <w:rPr>
          <w:spacing w:val="29"/>
          <w:vertAlign w:val="baseline"/>
        </w:rPr>
        <w:t> </w:t>
      </w:r>
      <w:r>
        <w:rPr>
          <w:vertAlign w:val="baseline"/>
        </w:rPr>
        <w:t>and</w:t>
      </w:r>
      <w:r>
        <w:rPr>
          <w:spacing w:val="34"/>
          <w:vertAlign w:val="baseline"/>
        </w:rPr>
        <w:t> </w:t>
      </w:r>
      <w:r>
        <w:rPr>
          <w:vertAlign w:val="baseline"/>
        </w:rPr>
        <w:t>non-smokers</w:t>
      </w:r>
      <w:r>
        <w:rPr>
          <w:spacing w:val="29"/>
          <w:vertAlign w:val="baseline"/>
        </w:rPr>
        <w:t> </w:t>
      </w:r>
      <w:r>
        <w:rPr>
          <w:vertAlign w:val="baseline"/>
        </w:rPr>
        <w:t>based on their % COHb levels in blood (AQG, 2000). No clear clinical consensus was reached when, attempts were made to categorize CO poisoning into mild, moderate, and severe based on the % COHb levels and clinical symptoms (Hampson </w:t>
      </w:r>
      <w:r>
        <w:rPr>
          <w:i/>
          <w:vertAlign w:val="baseline"/>
        </w:rPr>
        <w:t>et al</w:t>
      </w:r>
      <w:r>
        <w:rPr>
          <w:vertAlign w:val="baseline"/>
        </w:rPr>
        <w:t>., 2008). Degrees of poisoning were rather described as mild when there is greater than 10% COHb without clinical signs or symptoms of poisoning; moderate when the level is between 10 – 25%, with</w:t>
      </w:r>
      <w:r>
        <w:rPr>
          <w:spacing w:val="42"/>
          <w:vertAlign w:val="baseline"/>
        </w:rPr>
        <w:t> </w:t>
      </w:r>
      <w:r>
        <w:rPr>
          <w:vertAlign w:val="baseline"/>
        </w:rPr>
        <w:t>minor</w:t>
      </w:r>
      <w:r>
        <w:rPr>
          <w:spacing w:val="42"/>
          <w:vertAlign w:val="baseline"/>
        </w:rPr>
        <w:t> </w:t>
      </w:r>
      <w:r>
        <w:rPr>
          <w:vertAlign w:val="baseline"/>
        </w:rPr>
        <w:t>clinical</w:t>
      </w:r>
      <w:r>
        <w:rPr>
          <w:spacing w:val="39"/>
          <w:vertAlign w:val="baseline"/>
        </w:rPr>
        <w:t> </w:t>
      </w:r>
      <w:r>
        <w:rPr>
          <w:vertAlign w:val="baseline"/>
        </w:rPr>
        <w:t>signs</w:t>
      </w:r>
      <w:r>
        <w:rPr>
          <w:spacing w:val="44"/>
          <w:vertAlign w:val="baseline"/>
        </w:rPr>
        <w:t> </w:t>
      </w:r>
      <w:r>
        <w:rPr>
          <w:vertAlign w:val="baseline"/>
        </w:rPr>
        <w:t>and</w:t>
      </w:r>
      <w:r>
        <w:rPr>
          <w:spacing w:val="52"/>
          <w:vertAlign w:val="baseline"/>
        </w:rPr>
        <w:t> </w:t>
      </w:r>
      <w:r>
        <w:rPr>
          <w:vertAlign w:val="baseline"/>
        </w:rPr>
        <w:t>symptoms</w:t>
      </w:r>
      <w:r>
        <w:rPr>
          <w:spacing w:val="38"/>
          <w:vertAlign w:val="baseline"/>
        </w:rPr>
        <w:t> </w:t>
      </w:r>
      <w:r>
        <w:rPr>
          <w:vertAlign w:val="baseline"/>
        </w:rPr>
        <w:t>of</w:t>
      </w:r>
      <w:r>
        <w:rPr>
          <w:spacing w:val="36"/>
          <w:vertAlign w:val="baseline"/>
        </w:rPr>
        <w:t> </w:t>
      </w:r>
      <w:r>
        <w:rPr>
          <w:vertAlign w:val="baseline"/>
        </w:rPr>
        <w:t>poisoning,</w:t>
      </w:r>
      <w:r>
        <w:rPr>
          <w:spacing w:val="46"/>
          <w:vertAlign w:val="baseline"/>
        </w:rPr>
        <w:t> </w:t>
      </w:r>
      <w:r>
        <w:rPr>
          <w:vertAlign w:val="baseline"/>
        </w:rPr>
        <w:t>such</w:t>
      </w:r>
      <w:r>
        <w:rPr>
          <w:spacing w:val="37"/>
          <w:vertAlign w:val="baseline"/>
        </w:rPr>
        <w:t> </w:t>
      </w:r>
      <w:r>
        <w:rPr>
          <w:vertAlign w:val="baseline"/>
        </w:rPr>
        <w:t>as</w:t>
      </w:r>
      <w:r>
        <w:rPr>
          <w:spacing w:val="38"/>
          <w:vertAlign w:val="baseline"/>
        </w:rPr>
        <w:t> </w:t>
      </w:r>
      <w:r>
        <w:rPr>
          <w:vertAlign w:val="baseline"/>
        </w:rPr>
        <w:t>headache,</w:t>
      </w:r>
      <w:r>
        <w:rPr>
          <w:spacing w:val="46"/>
          <w:vertAlign w:val="baseline"/>
        </w:rPr>
        <w:t> </w:t>
      </w:r>
      <w:r>
        <w:rPr>
          <w:vertAlign w:val="baseline"/>
        </w:rPr>
        <w:t>lethargy,</w:t>
      </w:r>
      <w:r>
        <w:rPr>
          <w:spacing w:val="46"/>
          <w:vertAlign w:val="baseline"/>
        </w:rPr>
        <w:t> </w:t>
      </w:r>
      <w:r>
        <w:rPr>
          <w:spacing w:val="-5"/>
          <w:vertAlign w:val="baseline"/>
        </w:rPr>
        <w:t>or</w:t>
      </w:r>
    </w:p>
    <w:p>
      <w:pPr>
        <w:spacing w:after="0" w:line="491" w:lineRule="auto"/>
        <w:jc w:val="both"/>
        <w:sectPr>
          <w:pgSz w:w="12240" w:h="15840"/>
          <w:pgMar w:header="0" w:footer="916" w:top="1260" w:bottom="1100" w:left="1720" w:right="960"/>
        </w:sectPr>
      </w:pPr>
    </w:p>
    <w:p>
      <w:pPr>
        <w:pStyle w:val="BodyText"/>
        <w:spacing w:line="491" w:lineRule="auto" w:before="75"/>
        <w:ind w:left="665" w:right="896"/>
      </w:pPr>
      <w:r>
        <w:rPr/>
        <w:t>fatigue;</w:t>
      </w:r>
      <w:r>
        <w:rPr>
          <w:spacing w:val="24"/>
        </w:rPr>
        <w:t> </w:t>
      </w:r>
      <w:r>
        <w:rPr/>
        <w:t>and</w:t>
      </w:r>
      <w:r>
        <w:rPr>
          <w:spacing w:val="33"/>
        </w:rPr>
        <w:t> </w:t>
      </w:r>
      <w:r>
        <w:rPr/>
        <w:t>severe</w:t>
      </w:r>
      <w:r>
        <w:rPr>
          <w:spacing w:val="27"/>
        </w:rPr>
        <w:t> </w:t>
      </w:r>
      <w:r>
        <w:rPr/>
        <w:t>when</w:t>
      </w:r>
      <w:r>
        <w:rPr>
          <w:spacing w:val="22"/>
        </w:rPr>
        <w:t> </w:t>
      </w:r>
      <w:r>
        <w:rPr/>
        <w:t>the</w:t>
      </w:r>
      <w:r>
        <w:rPr>
          <w:spacing w:val="31"/>
        </w:rPr>
        <w:t> </w:t>
      </w:r>
      <w:r>
        <w:rPr/>
        <w:t>level</w:t>
      </w:r>
      <w:r>
        <w:rPr>
          <w:spacing w:val="30"/>
        </w:rPr>
        <w:t> </w:t>
      </w:r>
      <w:r>
        <w:rPr/>
        <w:t>is</w:t>
      </w:r>
      <w:r>
        <w:rPr>
          <w:spacing w:val="23"/>
        </w:rPr>
        <w:t> </w:t>
      </w:r>
      <w:r>
        <w:rPr/>
        <w:t>above</w:t>
      </w:r>
      <w:r>
        <w:rPr>
          <w:spacing w:val="27"/>
        </w:rPr>
        <w:t> </w:t>
      </w:r>
      <w:r>
        <w:rPr/>
        <w:t>20</w:t>
      </w:r>
      <w:r>
        <w:rPr>
          <w:spacing w:val="23"/>
        </w:rPr>
        <w:t> </w:t>
      </w:r>
      <w:r>
        <w:rPr/>
        <w:t>–</w:t>
      </w:r>
      <w:r>
        <w:rPr>
          <w:spacing w:val="28"/>
        </w:rPr>
        <w:t> </w:t>
      </w:r>
      <w:r>
        <w:rPr/>
        <w:t>25%,</w:t>
      </w:r>
      <w:r>
        <w:rPr>
          <w:spacing w:val="27"/>
        </w:rPr>
        <w:t> </w:t>
      </w:r>
      <w:r>
        <w:rPr/>
        <w:t>with</w:t>
      </w:r>
      <w:r>
        <w:rPr>
          <w:spacing w:val="23"/>
        </w:rPr>
        <w:t> </w:t>
      </w:r>
      <w:r>
        <w:rPr/>
        <w:t>loss</w:t>
      </w:r>
      <w:r>
        <w:rPr>
          <w:spacing w:val="29"/>
        </w:rPr>
        <w:t> </w:t>
      </w:r>
      <w:r>
        <w:rPr/>
        <w:t>of</w:t>
      </w:r>
      <w:r>
        <w:rPr>
          <w:spacing w:val="21"/>
        </w:rPr>
        <w:t> </w:t>
      </w:r>
      <w:r>
        <w:rPr/>
        <w:t>consciousness,</w:t>
      </w:r>
      <w:r>
        <w:rPr>
          <w:spacing w:val="26"/>
        </w:rPr>
        <w:t> </w:t>
      </w:r>
      <w:r>
        <w:rPr/>
        <w:t>and confusion or signs of cardiac ischaemia or both (Hampson </w:t>
      </w:r>
      <w:r>
        <w:rPr>
          <w:i/>
        </w:rPr>
        <w:t>et al</w:t>
      </w:r>
      <w:r>
        <w:rPr/>
        <w:t>., 2008).</w:t>
      </w:r>
    </w:p>
    <w:p>
      <w:pPr>
        <w:spacing w:after="0" w:line="491" w:lineRule="auto"/>
        <w:sectPr>
          <w:pgSz w:w="12240" w:h="15840"/>
          <w:pgMar w:header="0" w:footer="916" w:top="1260" w:bottom="1100" w:left="1720" w:right="960"/>
        </w:sectPr>
      </w:pPr>
    </w:p>
    <w:p>
      <w:pPr>
        <w:pStyle w:val="Heading1"/>
      </w:pPr>
      <w:bookmarkStart w:name="_TOC_250005" w:id="52"/>
      <w:r>
        <w:rPr/>
        <w:t>CHAPTER</w:t>
      </w:r>
      <w:r>
        <w:rPr>
          <w:spacing w:val="8"/>
        </w:rPr>
        <w:t> </w:t>
      </w:r>
      <w:bookmarkEnd w:id="52"/>
      <w:r>
        <w:rPr>
          <w:spacing w:val="-5"/>
        </w:rPr>
        <w:t>SIX</w:t>
      </w:r>
    </w:p>
    <w:p>
      <w:pPr>
        <w:pStyle w:val="BodyText"/>
        <w:rPr>
          <w:b/>
        </w:rPr>
      </w:pPr>
    </w:p>
    <w:p>
      <w:pPr>
        <w:pStyle w:val="BodyText"/>
        <w:rPr>
          <w:b/>
        </w:rPr>
      </w:pPr>
    </w:p>
    <w:p>
      <w:pPr>
        <w:pStyle w:val="BodyText"/>
        <w:spacing w:before="79"/>
        <w:rPr>
          <w:b/>
        </w:rPr>
      </w:pPr>
    </w:p>
    <w:p>
      <w:pPr>
        <w:pStyle w:val="Heading2"/>
        <w:numPr>
          <w:ilvl w:val="1"/>
          <w:numId w:val="28"/>
        </w:numPr>
        <w:tabs>
          <w:tab w:pos="1004" w:val="left" w:leader="none"/>
        </w:tabs>
        <w:spacing w:line="240" w:lineRule="auto" w:before="0" w:after="0"/>
        <w:ind w:left="1004" w:right="0" w:hanging="339"/>
        <w:jc w:val="left"/>
      </w:pPr>
      <w:bookmarkStart w:name="_TOC_250004" w:id="53"/>
      <w:bookmarkEnd w:id="53"/>
      <w:r>
        <w:rPr>
          <w:spacing w:val="-2"/>
        </w:rPr>
        <w:t>SUMMARY</w:t>
      </w:r>
    </w:p>
    <w:p>
      <w:pPr>
        <w:pStyle w:val="BodyText"/>
        <w:spacing w:before="7"/>
        <w:rPr>
          <w:b/>
        </w:rPr>
      </w:pPr>
    </w:p>
    <w:p>
      <w:pPr>
        <w:pStyle w:val="BodyText"/>
        <w:spacing w:line="491" w:lineRule="auto" w:before="1"/>
        <w:ind w:left="665" w:right="893"/>
        <w:jc w:val="both"/>
      </w:pPr>
      <w:r>
        <w:rPr/>
        <w:t>The study was conducted with the aim of assessing the effects of acute exposure of generator exhaust fumes on learning, memory, and motor coordination in mice. Carbon monoxide</w:t>
      </w:r>
      <w:r>
        <w:rPr>
          <w:spacing w:val="40"/>
        </w:rPr>
        <w:t> </w:t>
      </w:r>
      <w:r>
        <w:rPr/>
        <w:t>was</w:t>
      </w:r>
      <w:r>
        <w:rPr>
          <w:spacing w:val="40"/>
        </w:rPr>
        <w:t> </w:t>
      </w:r>
      <w:r>
        <w:rPr/>
        <w:t>among</w:t>
      </w:r>
      <w:r>
        <w:rPr>
          <w:spacing w:val="40"/>
        </w:rPr>
        <w:t> </w:t>
      </w:r>
      <w:r>
        <w:rPr/>
        <w:t>the</w:t>
      </w:r>
      <w:r>
        <w:rPr>
          <w:spacing w:val="40"/>
        </w:rPr>
        <w:t> </w:t>
      </w:r>
      <w:r>
        <w:rPr/>
        <w:t>contents</w:t>
      </w:r>
      <w:r>
        <w:rPr>
          <w:spacing w:val="40"/>
        </w:rPr>
        <w:t> </w:t>
      </w:r>
      <w:r>
        <w:rPr/>
        <w:t>of</w:t>
      </w:r>
      <w:r>
        <w:rPr>
          <w:spacing w:val="40"/>
        </w:rPr>
        <w:t> </w:t>
      </w:r>
      <w:r>
        <w:rPr/>
        <w:t>the</w:t>
      </w:r>
      <w:r>
        <w:rPr>
          <w:spacing w:val="40"/>
        </w:rPr>
        <w:t> </w:t>
      </w:r>
      <w:r>
        <w:rPr/>
        <w:t>exhaust</w:t>
      </w:r>
      <w:r>
        <w:rPr>
          <w:spacing w:val="40"/>
        </w:rPr>
        <w:t> </w:t>
      </w:r>
      <w:r>
        <w:rPr/>
        <w:t>fumes</w:t>
      </w:r>
      <w:r>
        <w:rPr>
          <w:spacing w:val="40"/>
        </w:rPr>
        <w:t> </w:t>
      </w:r>
      <w:r>
        <w:rPr/>
        <w:t>and</w:t>
      </w:r>
      <w:r>
        <w:rPr>
          <w:spacing w:val="40"/>
        </w:rPr>
        <w:t> </w:t>
      </w:r>
      <w:r>
        <w:rPr/>
        <w:t>was</w:t>
      </w:r>
      <w:r>
        <w:rPr>
          <w:spacing w:val="40"/>
        </w:rPr>
        <w:t> </w:t>
      </w:r>
      <w:r>
        <w:rPr/>
        <w:t>studied</w:t>
      </w:r>
      <w:r>
        <w:rPr>
          <w:spacing w:val="40"/>
        </w:rPr>
        <w:t> </w:t>
      </w:r>
      <w:r>
        <w:rPr/>
        <w:t>in</w:t>
      </w:r>
      <w:r>
        <w:rPr>
          <w:spacing w:val="40"/>
        </w:rPr>
        <w:t> </w:t>
      </w:r>
      <w:r>
        <w:rPr/>
        <w:t>detail because of its toxicity. It is a colourless and odourless gas that is produced when ever carbon containing substance is burnt. In Nigeria, the main sources include but are not limited to gasoline powered generator, vehicles exhaust, fire wood, and kerosene stoves. Generally, people are at risk of CO poisoning, but certain occupations like the traffic police, cooks in restaurants and fire fighters are affected the most. Gasoline-powered generator (TIGER, TG950, 220v/240v), was the source of CO and digital CO monitor (Amprobe, CM100) was used to</w:t>
      </w:r>
      <w:r>
        <w:rPr>
          <w:spacing w:val="29"/>
        </w:rPr>
        <w:t> </w:t>
      </w:r>
      <w:r>
        <w:rPr/>
        <w:t>record the dose of CO</w:t>
      </w:r>
      <w:r>
        <w:rPr>
          <w:spacing w:val="27"/>
        </w:rPr>
        <w:t> </w:t>
      </w:r>
      <w:r>
        <w:rPr/>
        <w:t>in parts per million (ppm).</w:t>
      </w:r>
      <w:r>
        <w:rPr>
          <w:spacing w:val="31"/>
        </w:rPr>
        <w:t> </w:t>
      </w:r>
      <w:r>
        <w:rPr/>
        <w:t>The gas</w:t>
      </w:r>
      <w:r>
        <w:rPr>
          <w:spacing w:val="28"/>
        </w:rPr>
        <w:t> </w:t>
      </w:r>
      <w:r>
        <w:rPr/>
        <w:t>chamber</w:t>
      </w:r>
      <w:r>
        <w:rPr>
          <w:spacing w:val="32"/>
        </w:rPr>
        <w:t> </w:t>
      </w:r>
      <w:r>
        <w:rPr/>
        <w:t>employed</w:t>
      </w:r>
      <w:r>
        <w:rPr>
          <w:spacing w:val="32"/>
        </w:rPr>
        <w:t> </w:t>
      </w:r>
      <w:r>
        <w:rPr/>
        <w:t>was</w:t>
      </w:r>
      <w:r>
        <w:rPr>
          <w:spacing w:val="22"/>
        </w:rPr>
        <w:t> </w:t>
      </w:r>
      <w:r>
        <w:rPr/>
        <w:t>an</w:t>
      </w:r>
      <w:r>
        <w:rPr>
          <w:spacing w:val="32"/>
        </w:rPr>
        <w:t> </w:t>
      </w:r>
      <w:r>
        <w:rPr/>
        <w:t>improvised</w:t>
      </w:r>
      <w:r>
        <w:rPr>
          <w:spacing w:val="32"/>
        </w:rPr>
        <w:t> </w:t>
      </w:r>
      <w:r>
        <w:rPr/>
        <w:t>one</w:t>
      </w:r>
      <w:r>
        <w:rPr>
          <w:spacing w:val="30"/>
        </w:rPr>
        <w:t> </w:t>
      </w:r>
      <w:r>
        <w:rPr/>
        <w:t>that</w:t>
      </w:r>
      <w:r>
        <w:rPr>
          <w:spacing w:val="29"/>
        </w:rPr>
        <w:t> </w:t>
      </w:r>
      <w:r>
        <w:rPr/>
        <w:t>measured</w:t>
      </w:r>
      <w:r>
        <w:rPr>
          <w:spacing w:val="32"/>
        </w:rPr>
        <w:t> </w:t>
      </w:r>
      <w:r>
        <w:rPr/>
        <w:t>150</w:t>
      </w:r>
      <w:r>
        <w:rPr>
          <w:spacing w:val="32"/>
        </w:rPr>
        <w:t> </w:t>
      </w:r>
      <w:r>
        <w:rPr/>
        <w:t>cm</w:t>
      </w:r>
      <w:r>
        <w:rPr>
          <w:spacing w:val="27"/>
        </w:rPr>
        <w:t> </w:t>
      </w:r>
      <w:r>
        <w:rPr/>
        <w:t>x</w:t>
      </w:r>
      <w:r>
        <w:rPr>
          <w:spacing w:val="21"/>
        </w:rPr>
        <w:t> </w:t>
      </w:r>
      <w:r>
        <w:rPr/>
        <w:t>100</w:t>
      </w:r>
      <w:r>
        <w:rPr>
          <w:spacing w:val="37"/>
        </w:rPr>
        <w:t> </w:t>
      </w:r>
      <w:r>
        <w:rPr/>
        <w:t>cm</w:t>
      </w:r>
      <w:r>
        <w:rPr>
          <w:spacing w:val="27"/>
        </w:rPr>
        <w:t> </w:t>
      </w:r>
      <w:r>
        <w:rPr/>
        <w:t>x</w:t>
      </w:r>
      <w:r>
        <w:rPr>
          <w:spacing w:val="21"/>
        </w:rPr>
        <w:t> </w:t>
      </w:r>
      <w:r>
        <w:rPr/>
        <w:t>100 cm (lxbxh) that was not air-tight, but rather provided partial ventilation to fresh air</w:t>
      </w:r>
      <w:r>
        <w:rPr>
          <w:spacing w:val="40"/>
        </w:rPr>
        <w:t> </w:t>
      </w:r>
      <w:r>
        <w:rPr/>
        <w:t>through the opened window.</w:t>
      </w:r>
    </w:p>
    <w:p>
      <w:pPr>
        <w:pStyle w:val="BodyText"/>
      </w:pPr>
    </w:p>
    <w:p>
      <w:pPr>
        <w:pStyle w:val="BodyText"/>
        <w:spacing w:before="9"/>
      </w:pPr>
    </w:p>
    <w:p>
      <w:pPr>
        <w:pStyle w:val="BodyText"/>
        <w:spacing w:line="491" w:lineRule="auto"/>
        <w:ind w:left="665" w:right="896"/>
        <w:jc w:val="both"/>
      </w:pPr>
      <w:r>
        <w:rPr/>
        <w:t>Two groups of mice (control and experimental) were used to assess each</w:t>
      </w:r>
      <w:r>
        <w:rPr>
          <w:spacing w:val="80"/>
        </w:rPr>
        <w:t> </w:t>
      </w:r>
      <w:r>
        <w:rPr/>
        <w:t>neurobehavioural</w:t>
      </w:r>
      <w:r>
        <w:rPr>
          <w:spacing w:val="40"/>
        </w:rPr>
        <w:t> </w:t>
      </w:r>
      <w:r>
        <w:rPr/>
        <w:t>test.</w:t>
      </w:r>
      <w:r>
        <w:rPr>
          <w:spacing w:val="40"/>
        </w:rPr>
        <w:t> </w:t>
      </w:r>
      <w:r>
        <w:rPr/>
        <w:t>They</w:t>
      </w:r>
      <w:r>
        <w:rPr>
          <w:spacing w:val="40"/>
        </w:rPr>
        <w:t> </w:t>
      </w:r>
      <w:r>
        <w:rPr/>
        <w:t>were</w:t>
      </w:r>
      <w:r>
        <w:rPr>
          <w:spacing w:val="40"/>
        </w:rPr>
        <w:t> </w:t>
      </w:r>
      <w:r>
        <w:rPr/>
        <w:t>subjected</w:t>
      </w:r>
      <w:r>
        <w:rPr>
          <w:spacing w:val="40"/>
        </w:rPr>
        <w:t> </w:t>
      </w:r>
      <w:r>
        <w:rPr/>
        <w:t>to</w:t>
      </w:r>
      <w:r>
        <w:rPr>
          <w:spacing w:val="40"/>
        </w:rPr>
        <w:t> </w:t>
      </w:r>
      <w:r>
        <w:rPr/>
        <w:t>the</w:t>
      </w:r>
      <w:r>
        <w:rPr>
          <w:spacing w:val="40"/>
        </w:rPr>
        <w:t> </w:t>
      </w:r>
      <w:r>
        <w:rPr/>
        <w:t>same</w:t>
      </w:r>
      <w:r>
        <w:rPr>
          <w:spacing w:val="40"/>
        </w:rPr>
        <w:t> </w:t>
      </w:r>
      <w:r>
        <w:rPr/>
        <w:t>conditions</w:t>
      </w:r>
      <w:r>
        <w:rPr>
          <w:spacing w:val="40"/>
        </w:rPr>
        <w:t> </w:t>
      </w:r>
      <w:r>
        <w:rPr/>
        <w:t>and</w:t>
      </w:r>
      <w:r>
        <w:rPr>
          <w:spacing w:val="40"/>
        </w:rPr>
        <w:t> </w:t>
      </w:r>
      <w:r>
        <w:rPr/>
        <w:t>treatments except</w:t>
      </w:r>
      <w:r>
        <w:rPr>
          <w:spacing w:val="40"/>
        </w:rPr>
        <w:t> </w:t>
      </w:r>
      <w:r>
        <w:rPr/>
        <w:t>for</w:t>
      </w:r>
      <w:r>
        <w:rPr>
          <w:spacing w:val="40"/>
        </w:rPr>
        <w:t> </w:t>
      </w:r>
      <w:r>
        <w:rPr/>
        <w:t>the</w:t>
      </w:r>
      <w:r>
        <w:rPr>
          <w:spacing w:val="40"/>
        </w:rPr>
        <w:t> </w:t>
      </w:r>
      <w:r>
        <w:rPr/>
        <w:t>exposure.</w:t>
      </w:r>
      <w:r>
        <w:rPr>
          <w:spacing w:val="40"/>
        </w:rPr>
        <w:t> </w:t>
      </w:r>
      <w:r>
        <w:rPr/>
        <w:t>The</w:t>
      </w:r>
      <w:r>
        <w:rPr>
          <w:spacing w:val="40"/>
        </w:rPr>
        <w:t> </w:t>
      </w:r>
      <w:r>
        <w:rPr/>
        <w:t>experimental</w:t>
      </w:r>
      <w:r>
        <w:rPr>
          <w:spacing w:val="40"/>
        </w:rPr>
        <w:t> </w:t>
      </w:r>
      <w:r>
        <w:rPr/>
        <w:t>group</w:t>
      </w:r>
      <w:r>
        <w:rPr>
          <w:spacing w:val="40"/>
        </w:rPr>
        <w:t> </w:t>
      </w:r>
      <w:r>
        <w:rPr/>
        <w:t>was</w:t>
      </w:r>
      <w:r>
        <w:rPr>
          <w:spacing w:val="40"/>
        </w:rPr>
        <w:t> </w:t>
      </w:r>
      <w:r>
        <w:rPr/>
        <w:t>exposed</w:t>
      </w:r>
      <w:r>
        <w:rPr>
          <w:spacing w:val="40"/>
        </w:rPr>
        <w:t> </w:t>
      </w:r>
      <w:r>
        <w:rPr/>
        <w:t>to</w:t>
      </w:r>
      <w:r>
        <w:rPr>
          <w:spacing w:val="40"/>
        </w:rPr>
        <w:t> </w:t>
      </w:r>
      <w:r>
        <w:rPr/>
        <w:t>between</w:t>
      </w:r>
      <w:r>
        <w:rPr>
          <w:spacing w:val="39"/>
        </w:rPr>
        <w:t> </w:t>
      </w:r>
      <w:r>
        <w:rPr/>
        <w:t>100</w:t>
      </w:r>
      <w:r>
        <w:rPr>
          <w:spacing w:val="40"/>
        </w:rPr>
        <w:t> </w:t>
      </w:r>
      <w:r>
        <w:rPr/>
        <w:t>-</w:t>
      </w:r>
      <w:r>
        <w:rPr>
          <w:spacing w:val="37"/>
        </w:rPr>
        <w:t> </w:t>
      </w:r>
      <w:r>
        <w:rPr/>
        <w:t>150 ppm dose of CO from the generator exhaust fumes for 30 minutes, 1 hour, and 2 hours periods at intervals of one week each. Mice were subjected to neurobehavioural tests of learning and</w:t>
      </w:r>
      <w:r>
        <w:rPr>
          <w:spacing w:val="32"/>
        </w:rPr>
        <w:t> </w:t>
      </w:r>
      <w:r>
        <w:rPr/>
        <w:t>memory using</w:t>
      </w:r>
      <w:r>
        <w:rPr>
          <w:spacing w:val="26"/>
        </w:rPr>
        <w:t> </w:t>
      </w:r>
      <w:r>
        <w:rPr/>
        <w:t>the</w:t>
      </w:r>
      <w:r>
        <w:rPr>
          <w:spacing w:val="29"/>
        </w:rPr>
        <w:t> </w:t>
      </w:r>
      <w:r>
        <w:rPr/>
        <w:t>EPM</w:t>
      </w:r>
      <w:r>
        <w:rPr>
          <w:spacing w:val="30"/>
        </w:rPr>
        <w:t> </w:t>
      </w:r>
      <w:r>
        <w:rPr/>
        <w:t>and</w:t>
      </w:r>
      <w:r>
        <w:rPr>
          <w:spacing w:val="38"/>
        </w:rPr>
        <w:t> </w:t>
      </w:r>
      <w:r>
        <w:rPr/>
        <w:t>motor</w:t>
      </w:r>
      <w:r>
        <w:rPr>
          <w:spacing w:val="30"/>
        </w:rPr>
        <w:t> </w:t>
      </w:r>
      <w:r>
        <w:rPr/>
        <w:t>coordination</w:t>
      </w:r>
      <w:r>
        <w:rPr>
          <w:spacing w:val="26"/>
        </w:rPr>
        <w:t> </w:t>
      </w:r>
      <w:r>
        <w:rPr/>
        <w:t>using</w:t>
      </w:r>
      <w:r>
        <w:rPr>
          <w:spacing w:val="26"/>
        </w:rPr>
        <w:t> </w:t>
      </w:r>
      <w:r>
        <w:rPr/>
        <w:t>the Beam</w:t>
      </w:r>
      <w:r>
        <w:rPr>
          <w:spacing w:val="32"/>
        </w:rPr>
        <w:t> </w:t>
      </w:r>
      <w:r>
        <w:rPr/>
        <w:t>walk.</w:t>
      </w:r>
      <w:r>
        <w:rPr>
          <w:spacing w:val="29"/>
        </w:rPr>
        <w:t> </w:t>
      </w:r>
      <w:r>
        <w:rPr/>
        <w:t>At the end of the study, mice were sacrificed and their blood were analysed for COHb concentration.</w:t>
      </w:r>
      <w:r>
        <w:rPr>
          <w:spacing w:val="80"/>
        </w:rPr>
        <w:t> </w:t>
      </w:r>
      <w:r>
        <w:rPr/>
        <w:t>Results</w:t>
      </w:r>
      <w:r>
        <w:rPr>
          <w:spacing w:val="73"/>
        </w:rPr>
        <w:t> </w:t>
      </w:r>
      <w:r>
        <w:rPr/>
        <w:t>obtained</w:t>
      </w:r>
      <w:r>
        <w:rPr>
          <w:spacing w:val="76"/>
        </w:rPr>
        <w:t> </w:t>
      </w:r>
      <w:r>
        <w:rPr/>
        <w:t>showed</w:t>
      </w:r>
      <w:r>
        <w:rPr>
          <w:spacing w:val="80"/>
        </w:rPr>
        <w:t> </w:t>
      </w:r>
      <w:r>
        <w:rPr/>
        <w:t>significant</w:t>
      </w:r>
      <w:r>
        <w:rPr>
          <w:spacing w:val="80"/>
        </w:rPr>
        <w:t> </w:t>
      </w:r>
      <w:r>
        <w:rPr/>
        <w:t>differences</w:t>
      </w:r>
      <w:r>
        <w:rPr>
          <w:spacing w:val="73"/>
        </w:rPr>
        <w:t> </w:t>
      </w:r>
      <w:r>
        <w:rPr/>
        <w:t>between</w:t>
      </w:r>
      <w:r>
        <w:rPr>
          <w:spacing w:val="71"/>
        </w:rPr>
        <w:t> </w:t>
      </w:r>
      <w:r>
        <w:rPr/>
        <w:t>control</w:t>
      </w:r>
      <w:r>
        <w:rPr>
          <w:spacing w:val="70"/>
        </w:rPr>
        <w:t> </w:t>
      </w:r>
      <w:r>
        <w:rPr/>
        <w:t>and</w:t>
      </w:r>
    </w:p>
    <w:p>
      <w:pPr>
        <w:spacing w:after="0" w:line="491" w:lineRule="auto"/>
        <w:jc w:val="both"/>
        <w:sectPr>
          <w:pgSz w:w="12240" w:h="15840"/>
          <w:pgMar w:header="0" w:footer="916" w:top="1260" w:bottom="1100" w:left="1720" w:right="960"/>
        </w:sectPr>
      </w:pPr>
    </w:p>
    <w:p>
      <w:pPr>
        <w:pStyle w:val="BodyText"/>
        <w:spacing w:line="491" w:lineRule="auto" w:before="75"/>
        <w:ind w:left="665" w:right="898"/>
        <w:jc w:val="both"/>
      </w:pPr>
      <w:r>
        <w:rPr/>
        <w:t>experimental groups in performing the EPM test. Carbon monoxide exposure from the generator</w:t>
      </w:r>
      <w:r>
        <w:rPr>
          <w:spacing w:val="39"/>
        </w:rPr>
        <w:t> </w:t>
      </w:r>
      <w:r>
        <w:rPr/>
        <w:t>exhaust</w:t>
      </w:r>
      <w:r>
        <w:rPr>
          <w:spacing w:val="37"/>
        </w:rPr>
        <w:t> </w:t>
      </w:r>
      <w:r>
        <w:rPr/>
        <w:t>fumes</w:t>
      </w:r>
      <w:r>
        <w:rPr>
          <w:spacing w:val="36"/>
        </w:rPr>
        <w:t> </w:t>
      </w:r>
      <w:r>
        <w:rPr/>
        <w:t>was</w:t>
      </w:r>
      <w:r>
        <w:rPr>
          <w:spacing w:val="30"/>
        </w:rPr>
        <w:t> </w:t>
      </w:r>
      <w:r>
        <w:rPr/>
        <w:t>found</w:t>
      </w:r>
      <w:r>
        <w:rPr>
          <w:spacing w:val="39"/>
        </w:rPr>
        <w:t> </w:t>
      </w:r>
      <w:r>
        <w:rPr/>
        <w:t>to</w:t>
      </w:r>
      <w:r>
        <w:rPr>
          <w:spacing w:val="39"/>
        </w:rPr>
        <w:t> </w:t>
      </w:r>
      <w:r>
        <w:rPr/>
        <w:t>reduce</w:t>
      </w:r>
      <w:r>
        <w:rPr>
          <w:spacing w:val="38"/>
        </w:rPr>
        <w:t> </w:t>
      </w:r>
      <w:r>
        <w:rPr/>
        <w:t>the</w:t>
      </w:r>
      <w:r>
        <w:rPr>
          <w:spacing w:val="32"/>
        </w:rPr>
        <w:t> </w:t>
      </w:r>
      <w:r>
        <w:rPr/>
        <w:t>ability of</w:t>
      </w:r>
      <w:r>
        <w:rPr>
          <w:spacing w:val="33"/>
        </w:rPr>
        <w:t> </w:t>
      </w:r>
      <w:r>
        <w:rPr/>
        <w:t>the</w:t>
      </w:r>
      <w:r>
        <w:rPr>
          <w:spacing w:val="32"/>
        </w:rPr>
        <w:t> </w:t>
      </w:r>
      <w:r>
        <w:rPr/>
        <w:t>exposed</w:t>
      </w:r>
      <w:r>
        <w:rPr>
          <w:spacing w:val="34"/>
        </w:rPr>
        <w:t> </w:t>
      </w:r>
      <w:r>
        <w:rPr/>
        <w:t>mice</w:t>
      </w:r>
      <w:r>
        <w:rPr>
          <w:spacing w:val="32"/>
        </w:rPr>
        <w:t> </w:t>
      </w:r>
      <w:r>
        <w:rPr/>
        <w:t>to</w:t>
      </w:r>
      <w:r>
        <w:rPr>
          <w:spacing w:val="40"/>
        </w:rPr>
        <w:t> </w:t>
      </w:r>
      <w:r>
        <w:rPr/>
        <w:t>learn new behaviour and also recall the learned behaviour. Carbon monoxide exposure had either minimal or no effect on the motor coordination of the exposed mice when</w:t>
      </w:r>
      <w:r>
        <w:rPr>
          <w:spacing w:val="80"/>
        </w:rPr>
        <w:t> </w:t>
      </w:r>
      <w:r>
        <w:rPr/>
        <w:t>compared to the control. The level of percentage COHb in blood was higher in the experimental than the control group, thus signifies additional intake from external</w:t>
      </w:r>
      <w:r>
        <w:rPr>
          <w:spacing w:val="80"/>
        </w:rPr>
        <w:t> </w:t>
      </w:r>
      <w:r>
        <w:rPr/>
        <w:t>sources. Our findings were in line with previous studies, where acute CO exposure</w:t>
      </w:r>
      <w:r>
        <w:rPr>
          <w:spacing w:val="40"/>
        </w:rPr>
        <w:t> </w:t>
      </w:r>
      <w:r>
        <w:rPr/>
        <w:t>resulted</w:t>
      </w:r>
      <w:r>
        <w:rPr>
          <w:spacing w:val="40"/>
        </w:rPr>
        <w:t> </w:t>
      </w:r>
      <w:r>
        <w:rPr/>
        <w:t>in</w:t>
      </w:r>
      <w:r>
        <w:rPr>
          <w:spacing w:val="40"/>
        </w:rPr>
        <w:t> </w:t>
      </w:r>
      <w:r>
        <w:rPr/>
        <w:t>neuronal</w:t>
      </w:r>
      <w:r>
        <w:rPr>
          <w:spacing w:val="40"/>
        </w:rPr>
        <w:t> </w:t>
      </w:r>
      <w:r>
        <w:rPr/>
        <w:t>cell</w:t>
      </w:r>
      <w:r>
        <w:rPr>
          <w:spacing w:val="40"/>
        </w:rPr>
        <w:t> </w:t>
      </w:r>
      <w:r>
        <w:rPr/>
        <w:t>death</w:t>
      </w:r>
      <w:r>
        <w:rPr>
          <w:spacing w:val="40"/>
        </w:rPr>
        <w:t> </w:t>
      </w:r>
      <w:r>
        <w:rPr/>
        <w:t>and</w:t>
      </w:r>
      <w:r>
        <w:rPr>
          <w:spacing w:val="40"/>
        </w:rPr>
        <w:t> </w:t>
      </w:r>
      <w:r>
        <w:rPr/>
        <w:t>functional</w:t>
      </w:r>
      <w:r>
        <w:rPr>
          <w:spacing w:val="40"/>
        </w:rPr>
        <w:t> </w:t>
      </w:r>
      <w:r>
        <w:rPr/>
        <w:t>deficits</w:t>
      </w:r>
      <w:r>
        <w:rPr>
          <w:spacing w:val="40"/>
        </w:rPr>
        <w:t> </w:t>
      </w:r>
      <w:r>
        <w:rPr/>
        <w:t>in</w:t>
      </w:r>
      <w:r>
        <w:rPr>
          <w:spacing w:val="40"/>
        </w:rPr>
        <w:t> </w:t>
      </w:r>
      <w:r>
        <w:rPr/>
        <w:t>learning</w:t>
      </w:r>
      <w:r>
        <w:rPr>
          <w:spacing w:val="40"/>
        </w:rPr>
        <w:t> </w:t>
      </w:r>
      <w:r>
        <w:rPr/>
        <w:t>and</w:t>
      </w:r>
      <w:r>
        <w:rPr>
          <w:spacing w:val="40"/>
        </w:rPr>
        <w:t> </w:t>
      </w:r>
      <w:r>
        <w:rPr/>
        <w:t>memory. However, CO exposure at physiological level was beneficial to</w:t>
      </w:r>
      <w:r>
        <w:rPr>
          <w:spacing w:val="40"/>
        </w:rPr>
        <w:t> </w:t>
      </w:r>
      <w:r>
        <w:rPr/>
        <w:t>learning process.</w:t>
      </w:r>
    </w:p>
    <w:p>
      <w:pPr>
        <w:pStyle w:val="BodyText"/>
      </w:pPr>
    </w:p>
    <w:p>
      <w:pPr>
        <w:pStyle w:val="BodyText"/>
        <w:spacing w:before="20"/>
      </w:pPr>
    </w:p>
    <w:p>
      <w:pPr>
        <w:pStyle w:val="Heading2"/>
        <w:numPr>
          <w:ilvl w:val="1"/>
          <w:numId w:val="28"/>
        </w:numPr>
        <w:tabs>
          <w:tab w:pos="1008" w:val="left" w:leader="none"/>
        </w:tabs>
        <w:spacing w:line="240" w:lineRule="auto" w:before="0" w:after="0"/>
        <w:ind w:left="1008" w:right="0" w:hanging="343"/>
        <w:jc w:val="left"/>
      </w:pPr>
      <w:bookmarkStart w:name="_TOC_250003" w:id="54"/>
      <w:bookmarkEnd w:id="54"/>
      <w:r>
        <w:rPr>
          <w:spacing w:val="-2"/>
        </w:rPr>
        <w:t>CONCLUSION</w:t>
      </w:r>
    </w:p>
    <w:p>
      <w:pPr>
        <w:pStyle w:val="BodyText"/>
        <w:spacing w:before="8"/>
        <w:rPr>
          <w:b/>
        </w:rPr>
      </w:pPr>
    </w:p>
    <w:p>
      <w:pPr>
        <w:pStyle w:val="BodyText"/>
        <w:spacing w:line="491" w:lineRule="auto"/>
        <w:ind w:left="665" w:right="897"/>
        <w:jc w:val="both"/>
      </w:pPr>
      <w:r>
        <w:rPr/>
        <w:t>In conclusion, CO at this range and period of exposure was found to adversely affect acquisition and recall but not motor coordination in mice. The result was in agreement with previous studies which had suggested CO, together with NO acted as gaso- transmitters in the CNS at physiological concentrations. Carbon monoxide might have significant</w:t>
      </w:r>
      <w:r>
        <w:rPr>
          <w:spacing w:val="23"/>
        </w:rPr>
        <w:t> </w:t>
      </w:r>
      <w:r>
        <w:rPr/>
        <w:t>effect</w:t>
      </w:r>
      <w:r>
        <w:rPr>
          <w:spacing w:val="17"/>
        </w:rPr>
        <w:t> </w:t>
      </w:r>
      <w:r>
        <w:rPr/>
        <w:t>on the motor</w:t>
      </w:r>
      <w:r>
        <w:rPr>
          <w:spacing w:val="15"/>
        </w:rPr>
        <w:t> </w:t>
      </w:r>
      <w:r>
        <w:rPr/>
        <w:t>coordination at</w:t>
      </w:r>
      <w:r>
        <w:rPr>
          <w:spacing w:val="17"/>
        </w:rPr>
        <w:t> </w:t>
      </w:r>
      <w:r>
        <w:rPr/>
        <w:t>much</w:t>
      </w:r>
      <w:r>
        <w:rPr>
          <w:spacing w:val="16"/>
        </w:rPr>
        <w:t> </w:t>
      </w:r>
      <w:r>
        <w:rPr/>
        <w:t>higher</w:t>
      </w:r>
      <w:r>
        <w:rPr>
          <w:spacing w:val="15"/>
        </w:rPr>
        <w:t> </w:t>
      </w:r>
      <w:r>
        <w:rPr/>
        <w:t>dose than the</w:t>
      </w:r>
      <w:r>
        <w:rPr>
          <w:spacing w:val="22"/>
        </w:rPr>
        <w:t> </w:t>
      </w:r>
      <w:r>
        <w:rPr/>
        <w:t>one used</w:t>
      </w:r>
      <w:r>
        <w:rPr>
          <w:spacing w:val="21"/>
        </w:rPr>
        <w:t> </w:t>
      </w:r>
      <w:r>
        <w:rPr/>
        <w:t>here. It is important to note that, various effects presented here might not be attributed to only CO, since several other contents of the generator exhaust fumes might perhaps be toxic.</w:t>
      </w:r>
    </w:p>
    <w:p>
      <w:pPr>
        <w:pStyle w:val="BodyText"/>
      </w:pPr>
    </w:p>
    <w:p>
      <w:pPr>
        <w:pStyle w:val="BodyText"/>
        <w:spacing w:before="16"/>
      </w:pPr>
    </w:p>
    <w:p>
      <w:pPr>
        <w:pStyle w:val="Heading2"/>
        <w:numPr>
          <w:ilvl w:val="1"/>
          <w:numId w:val="28"/>
        </w:numPr>
        <w:tabs>
          <w:tab w:pos="1008" w:val="left" w:leader="none"/>
        </w:tabs>
        <w:spacing w:line="240" w:lineRule="auto" w:before="0" w:after="0"/>
        <w:ind w:left="1008" w:right="0" w:hanging="343"/>
        <w:jc w:val="left"/>
      </w:pPr>
      <w:bookmarkStart w:name="_TOC_250002" w:id="55"/>
      <w:bookmarkEnd w:id="55"/>
      <w:r>
        <w:rPr>
          <w:spacing w:val="-2"/>
        </w:rPr>
        <w:t>RECOMMENDATION</w:t>
      </w:r>
    </w:p>
    <w:p>
      <w:pPr>
        <w:pStyle w:val="BodyText"/>
        <w:spacing w:before="12"/>
        <w:rPr>
          <w:b/>
        </w:rPr>
      </w:pPr>
    </w:p>
    <w:p>
      <w:pPr>
        <w:pStyle w:val="BodyText"/>
        <w:spacing w:line="491" w:lineRule="auto"/>
        <w:ind w:left="665" w:right="906"/>
        <w:jc w:val="both"/>
      </w:pPr>
      <w:r>
        <w:rPr/>
        <w:t>Based on the study conducted and the results obtained, the following recommendations will be made.</w:t>
      </w:r>
    </w:p>
    <w:p>
      <w:pPr>
        <w:pStyle w:val="ListParagraph"/>
        <w:numPr>
          <w:ilvl w:val="2"/>
          <w:numId w:val="28"/>
        </w:numPr>
        <w:tabs>
          <w:tab w:pos="1340" w:val="left" w:leader="none"/>
          <w:tab w:pos="1342" w:val="left" w:leader="none"/>
        </w:tabs>
        <w:spacing w:line="491" w:lineRule="auto" w:before="0" w:after="0"/>
        <w:ind w:left="1342" w:right="904" w:hanging="336"/>
        <w:jc w:val="left"/>
        <w:rPr>
          <w:sz w:val="22"/>
        </w:rPr>
      </w:pPr>
      <w:r>
        <w:rPr>
          <w:sz w:val="22"/>
        </w:rPr>
        <w:t>Studies</w:t>
      </w:r>
      <w:r>
        <w:rPr>
          <w:spacing w:val="40"/>
          <w:sz w:val="22"/>
        </w:rPr>
        <w:t> </w:t>
      </w:r>
      <w:r>
        <w:rPr>
          <w:sz w:val="22"/>
        </w:rPr>
        <w:t>should</w:t>
      </w:r>
      <w:r>
        <w:rPr>
          <w:spacing w:val="40"/>
          <w:sz w:val="22"/>
        </w:rPr>
        <w:t> </w:t>
      </w:r>
      <w:r>
        <w:rPr>
          <w:sz w:val="22"/>
        </w:rPr>
        <w:t>be</w:t>
      </w:r>
      <w:r>
        <w:rPr>
          <w:spacing w:val="40"/>
          <w:sz w:val="22"/>
        </w:rPr>
        <w:t> </w:t>
      </w:r>
      <w:r>
        <w:rPr>
          <w:sz w:val="22"/>
        </w:rPr>
        <w:t>conducted</w:t>
      </w:r>
      <w:r>
        <w:rPr>
          <w:spacing w:val="40"/>
          <w:sz w:val="22"/>
        </w:rPr>
        <w:t> </w:t>
      </w:r>
      <w:r>
        <w:rPr>
          <w:sz w:val="22"/>
        </w:rPr>
        <w:t>using</w:t>
      </w:r>
      <w:r>
        <w:rPr>
          <w:spacing w:val="40"/>
          <w:sz w:val="22"/>
        </w:rPr>
        <w:t> </w:t>
      </w:r>
      <w:r>
        <w:rPr>
          <w:sz w:val="22"/>
        </w:rPr>
        <w:t>pure</w:t>
      </w:r>
      <w:r>
        <w:rPr>
          <w:spacing w:val="40"/>
          <w:sz w:val="22"/>
        </w:rPr>
        <w:t> </w:t>
      </w:r>
      <w:r>
        <w:rPr>
          <w:sz w:val="22"/>
        </w:rPr>
        <w:t>CO</w:t>
      </w:r>
      <w:r>
        <w:rPr>
          <w:spacing w:val="40"/>
          <w:sz w:val="22"/>
        </w:rPr>
        <w:t> </w:t>
      </w:r>
      <w:r>
        <w:rPr>
          <w:sz w:val="22"/>
        </w:rPr>
        <w:t>gas</w:t>
      </w:r>
      <w:r>
        <w:rPr>
          <w:spacing w:val="40"/>
          <w:sz w:val="22"/>
        </w:rPr>
        <w:t> </w:t>
      </w:r>
      <w:r>
        <w:rPr>
          <w:sz w:val="22"/>
        </w:rPr>
        <w:t>to</w:t>
      </w:r>
      <w:r>
        <w:rPr>
          <w:spacing w:val="40"/>
          <w:sz w:val="22"/>
        </w:rPr>
        <w:t> </w:t>
      </w:r>
      <w:r>
        <w:rPr>
          <w:sz w:val="22"/>
        </w:rPr>
        <w:t>specifically</w:t>
      </w:r>
      <w:r>
        <w:rPr>
          <w:spacing w:val="40"/>
          <w:sz w:val="22"/>
        </w:rPr>
        <w:t> </w:t>
      </w:r>
      <w:r>
        <w:rPr>
          <w:sz w:val="22"/>
        </w:rPr>
        <w:t>ascertain</w:t>
      </w:r>
      <w:r>
        <w:rPr>
          <w:spacing w:val="40"/>
          <w:sz w:val="22"/>
        </w:rPr>
        <w:t> </w:t>
      </w:r>
      <w:r>
        <w:rPr>
          <w:sz w:val="22"/>
        </w:rPr>
        <w:t>its</w:t>
      </w:r>
      <w:r>
        <w:rPr>
          <w:spacing w:val="40"/>
          <w:sz w:val="22"/>
        </w:rPr>
        <w:t> </w:t>
      </w:r>
      <w:r>
        <w:rPr>
          <w:spacing w:val="-2"/>
          <w:sz w:val="22"/>
        </w:rPr>
        <w:t>effects.</w:t>
      </w:r>
    </w:p>
    <w:p>
      <w:pPr>
        <w:spacing w:after="0" w:line="491" w:lineRule="auto"/>
        <w:jc w:val="left"/>
        <w:rPr>
          <w:sz w:val="22"/>
        </w:rPr>
        <w:sectPr>
          <w:pgSz w:w="12240" w:h="15840"/>
          <w:pgMar w:header="0" w:footer="916" w:top="1260" w:bottom="1100" w:left="1720" w:right="960"/>
        </w:sectPr>
      </w:pPr>
    </w:p>
    <w:p>
      <w:pPr>
        <w:pStyle w:val="ListParagraph"/>
        <w:numPr>
          <w:ilvl w:val="2"/>
          <w:numId w:val="28"/>
        </w:numPr>
        <w:tabs>
          <w:tab w:pos="1340" w:val="left" w:leader="none"/>
          <w:tab w:pos="1342" w:val="left" w:leader="none"/>
        </w:tabs>
        <w:spacing w:line="491" w:lineRule="auto" w:before="75" w:after="0"/>
        <w:ind w:left="1342" w:right="905" w:hanging="336"/>
        <w:jc w:val="left"/>
        <w:rPr>
          <w:sz w:val="22"/>
        </w:rPr>
      </w:pPr>
      <w:r>
        <w:rPr>
          <w:sz w:val="22"/>
        </w:rPr>
        <w:t>Sample</w:t>
      </w:r>
      <w:r>
        <w:rPr>
          <w:spacing w:val="40"/>
          <w:sz w:val="22"/>
        </w:rPr>
        <w:t> </w:t>
      </w:r>
      <w:r>
        <w:rPr>
          <w:sz w:val="22"/>
        </w:rPr>
        <w:t>size</w:t>
      </w:r>
      <w:r>
        <w:rPr>
          <w:spacing w:val="40"/>
          <w:sz w:val="22"/>
        </w:rPr>
        <w:t> </w:t>
      </w:r>
      <w:r>
        <w:rPr>
          <w:sz w:val="22"/>
        </w:rPr>
        <w:t>should</w:t>
      </w:r>
      <w:r>
        <w:rPr>
          <w:spacing w:val="40"/>
          <w:sz w:val="22"/>
        </w:rPr>
        <w:t> </w:t>
      </w:r>
      <w:r>
        <w:rPr>
          <w:sz w:val="22"/>
        </w:rPr>
        <w:t>be</w:t>
      </w:r>
      <w:r>
        <w:rPr>
          <w:spacing w:val="40"/>
          <w:sz w:val="22"/>
        </w:rPr>
        <w:t> </w:t>
      </w:r>
      <w:r>
        <w:rPr>
          <w:sz w:val="22"/>
        </w:rPr>
        <w:t>increased</w:t>
      </w:r>
      <w:r>
        <w:rPr>
          <w:spacing w:val="40"/>
          <w:sz w:val="22"/>
        </w:rPr>
        <w:t> </w:t>
      </w:r>
      <w:r>
        <w:rPr>
          <w:sz w:val="22"/>
        </w:rPr>
        <w:t>in</w:t>
      </w:r>
      <w:r>
        <w:rPr>
          <w:spacing w:val="40"/>
          <w:sz w:val="22"/>
        </w:rPr>
        <w:t> </w:t>
      </w:r>
      <w:r>
        <w:rPr>
          <w:sz w:val="22"/>
        </w:rPr>
        <w:t>subsequent</w:t>
      </w:r>
      <w:r>
        <w:rPr>
          <w:spacing w:val="40"/>
          <w:sz w:val="22"/>
        </w:rPr>
        <w:t> </w:t>
      </w:r>
      <w:r>
        <w:rPr>
          <w:sz w:val="22"/>
        </w:rPr>
        <w:t>studies,</w:t>
      </w:r>
      <w:r>
        <w:rPr>
          <w:spacing w:val="40"/>
          <w:sz w:val="22"/>
        </w:rPr>
        <w:t> </w:t>
      </w:r>
      <w:r>
        <w:rPr>
          <w:sz w:val="22"/>
        </w:rPr>
        <w:t>in</w:t>
      </w:r>
      <w:r>
        <w:rPr>
          <w:spacing w:val="40"/>
          <w:sz w:val="22"/>
        </w:rPr>
        <w:t> </w:t>
      </w:r>
      <w:r>
        <w:rPr>
          <w:sz w:val="22"/>
        </w:rPr>
        <w:t>order</w:t>
      </w:r>
      <w:r>
        <w:rPr>
          <w:spacing w:val="40"/>
          <w:sz w:val="22"/>
        </w:rPr>
        <w:t> </w:t>
      </w:r>
      <w:r>
        <w:rPr>
          <w:sz w:val="22"/>
        </w:rPr>
        <w:t>to</w:t>
      </w:r>
      <w:r>
        <w:rPr>
          <w:spacing w:val="40"/>
          <w:sz w:val="22"/>
        </w:rPr>
        <w:t> </w:t>
      </w:r>
      <w:r>
        <w:rPr>
          <w:sz w:val="22"/>
        </w:rPr>
        <w:t>enhance</w:t>
      </w:r>
      <w:r>
        <w:rPr>
          <w:spacing w:val="80"/>
          <w:sz w:val="22"/>
        </w:rPr>
        <w:t> </w:t>
      </w:r>
      <w:r>
        <w:rPr>
          <w:sz w:val="22"/>
        </w:rPr>
        <w:t>sensitivity and allow justifiable generalisation of the results.</w:t>
      </w:r>
    </w:p>
    <w:p>
      <w:pPr>
        <w:pStyle w:val="ListParagraph"/>
        <w:numPr>
          <w:ilvl w:val="2"/>
          <w:numId w:val="28"/>
        </w:numPr>
        <w:tabs>
          <w:tab w:pos="1340" w:val="left" w:leader="none"/>
          <w:tab w:pos="1342" w:val="left" w:leader="none"/>
        </w:tabs>
        <w:spacing w:line="491" w:lineRule="auto" w:before="0" w:after="0"/>
        <w:ind w:left="1342" w:right="902" w:hanging="336"/>
        <w:jc w:val="left"/>
        <w:rPr>
          <w:sz w:val="22"/>
        </w:rPr>
      </w:pPr>
      <w:r>
        <w:rPr>
          <w:sz w:val="22"/>
        </w:rPr>
        <w:t>Similar</w:t>
      </w:r>
      <w:r>
        <w:rPr>
          <w:spacing w:val="40"/>
          <w:sz w:val="22"/>
        </w:rPr>
        <w:t> </w:t>
      </w:r>
      <w:r>
        <w:rPr>
          <w:sz w:val="22"/>
        </w:rPr>
        <w:t>studies</w:t>
      </w:r>
      <w:r>
        <w:rPr>
          <w:spacing w:val="40"/>
          <w:sz w:val="22"/>
        </w:rPr>
        <w:t> </w:t>
      </w:r>
      <w:r>
        <w:rPr>
          <w:sz w:val="22"/>
        </w:rPr>
        <w:t>using</w:t>
      </w:r>
      <w:r>
        <w:rPr>
          <w:spacing w:val="40"/>
          <w:sz w:val="22"/>
        </w:rPr>
        <w:t> </w:t>
      </w:r>
      <w:r>
        <w:rPr>
          <w:sz w:val="22"/>
        </w:rPr>
        <w:t>lower</w:t>
      </w:r>
      <w:r>
        <w:rPr>
          <w:spacing w:val="40"/>
          <w:sz w:val="22"/>
        </w:rPr>
        <w:t> </w:t>
      </w:r>
      <w:r>
        <w:rPr>
          <w:sz w:val="22"/>
        </w:rPr>
        <w:t>doses</w:t>
      </w:r>
      <w:r>
        <w:rPr>
          <w:spacing w:val="40"/>
          <w:sz w:val="22"/>
        </w:rPr>
        <w:t> </w:t>
      </w:r>
      <w:r>
        <w:rPr>
          <w:sz w:val="22"/>
        </w:rPr>
        <w:t>of</w:t>
      </w:r>
      <w:r>
        <w:rPr>
          <w:spacing w:val="40"/>
          <w:sz w:val="22"/>
        </w:rPr>
        <w:t> </w:t>
      </w:r>
      <w:r>
        <w:rPr>
          <w:sz w:val="22"/>
        </w:rPr>
        <w:t>CO</w:t>
      </w:r>
      <w:r>
        <w:rPr>
          <w:spacing w:val="40"/>
          <w:sz w:val="22"/>
        </w:rPr>
        <w:t> </w:t>
      </w:r>
      <w:r>
        <w:rPr>
          <w:sz w:val="22"/>
        </w:rPr>
        <w:t>could</w:t>
      </w:r>
      <w:r>
        <w:rPr>
          <w:spacing w:val="40"/>
          <w:sz w:val="22"/>
        </w:rPr>
        <w:t> </w:t>
      </w:r>
      <w:r>
        <w:rPr>
          <w:sz w:val="22"/>
        </w:rPr>
        <w:t>specifically</w:t>
      </w:r>
      <w:r>
        <w:rPr>
          <w:spacing w:val="40"/>
          <w:sz w:val="22"/>
        </w:rPr>
        <w:t> </w:t>
      </w:r>
      <w:r>
        <w:rPr>
          <w:sz w:val="22"/>
        </w:rPr>
        <w:t>be</w:t>
      </w:r>
      <w:r>
        <w:rPr>
          <w:spacing w:val="40"/>
          <w:sz w:val="22"/>
        </w:rPr>
        <w:t> </w:t>
      </w:r>
      <w:r>
        <w:rPr>
          <w:sz w:val="22"/>
        </w:rPr>
        <w:t>conducted</w:t>
      </w:r>
      <w:r>
        <w:rPr>
          <w:spacing w:val="40"/>
          <w:sz w:val="22"/>
        </w:rPr>
        <w:t> </w:t>
      </w:r>
      <w:r>
        <w:rPr>
          <w:sz w:val="22"/>
        </w:rPr>
        <w:t>on humans to ascertain its neurobehavioural effects.</w:t>
      </w:r>
    </w:p>
    <w:p>
      <w:pPr>
        <w:pStyle w:val="ListParagraph"/>
        <w:numPr>
          <w:ilvl w:val="2"/>
          <w:numId w:val="28"/>
        </w:numPr>
        <w:tabs>
          <w:tab w:pos="1340" w:val="left" w:leader="none"/>
          <w:tab w:pos="1342" w:val="left" w:leader="none"/>
        </w:tabs>
        <w:spacing w:line="491" w:lineRule="auto" w:before="0" w:after="0"/>
        <w:ind w:left="1342" w:right="902" w:hanging="336"/>
        <w:jc w:val="left"/>
        <w:rPr>
          <w:sz w:val="22"/>
        </w:rPr>
      </w:pPr>
      <w:r>
        <w:rPr>
          <w:sz w:val="22"/>
        </w:rPr>
        <w:t>Similar</w:t>
      </w:r>
      <w:r>
        <w:rPr>
          <w:spacing w:val="39"/>
          <w:sz w:val="22"/>
        </w:rPr>
        <w:t> </w:t>
      </w:r>
      <w:r>
        <w:rPr>
          <w:sz w:val="22"/>
        </w:rPr>
        <w:t>studies</w:t>
      </w:r>
      <w:r>
        <w:rPr>
          <w:spacing w:val="35"/>
          <w:sz w:val="22"/>
        </w:rPr>
        <w:t> </w:t>
      </w:r>
      <w:r>
        <w:rPr>
          <w:sz w:val="22"/>
        </w:rPr>
        <w:t>should</w:t>
      </w:r>
      <w:r>
        <w:rPr>
          <w:spacing w:val="40"/>
          <w:sz w:val="22"/>
        </w:rPr>
        <w:t> </w:t>
      </w:r>
      <w:r>
        <w:rPr>
          <w:sz w:val="22"/>
        </w:rPr>
        <w:t>be</w:t>
      </w:r>
      <w:r>
        <w:rPr>
          <w:spacing w:val="38"/>
          <w:sz w:val="22"/>
        </w:rPr>
        <w:t> </w:t>
      </w:r>
      <w:r>
        <w:rPr>
          <w:sz w:val="22"/>
        </w:rPr>
        <w:t>encouraged</w:t>
      </w:r>
      <w:r>
        <w:rPr>
          <w:spacing w:val="40"/>
          <w:sz w:val="22"/>
        </w:rPr>
        <w:t> </w:t>
      </w:r>
      <w:r>
        <w:rPr>
          <w:sz w:val="22"/>
        </w:rPr>
        <w:t>utilising</w:t>
      </w:r>
      <w:r>
        <w:rPr>
          <w:spacing w:val="34"/>
          <w:sz w:val="22"/>
        </w:rPr>
        <w:t> </w:t>
      </w:r>
      <w:r>
        <w:rPr>
          <w:sz w:val="22"/>
        </w:rPr>
        <w:t>standard,</w:t>
      </w:r>
      <w:r>
        <w:rPr>
          <w:spacing w:val="38"/>
          <w:sz w:val="22"/>
        </w:rPr>
        <w:t> </w:t>
      </w:r>
      <w:r>
        <w:rPr>
          <w:sz w:val="22"/>
        </w:rPr>
        <w:t>modern equipments</w:t>
      </w:r>
      <w:r>
        <w:rPr>
          <w:spacing w:val="35"/>
          <w:sz w:val="22"/>
        </w:rPr>
        <w:t> </w:t>
      </w:r>
      <w:r>
        <w:rPr>
          <w:sz w:val="22"/>
        </w:rPr>
        <w:t>to enhance sensitivity and reliability of the results.</w:t>
      </w:r>
    </w:p>
    <w:p>
      <w:pPr>
        <w:pStyle w:val="ListParagraph"/>
        <w:numPr>
          <w:ilvl w:val="2"/>
          <w:numId w:val="28"/>
        </w:numPr>
        <w:tabs>
          <w:tab w:pos="1340" w:val="left" w:leader="none"/>
          <w:tab w:pos="1342" w:val="left" w:leader="none"/>
        </w:tabs>
        <w:spacing w:line="491" w:lineRule="auto" w:before="0" w:after="0"/>
        <w:ind w:left="1342" w:right="908" w:hanging="336"/>
        <w:jc w:val="left"/>
        <w:rPr>
          <w:sz w:val="22"/>
        </w:rPr>
      </w:pPr>
      <w:r>
        <w:rPr>
          <w:sz w:val="22"/>
        </w:rPr>
        <w:t>People</w:t>
      </w:r>
      <w:r>
        <w:rPr>
          <w:spacing w:val="26"/>
          <w:sz w:val="22"/>
        </w:rPr>
        <w:t> </w:t>
      </w:r>
      <w:r>
        <w:rPr>
          <w:sz w:val="22"/>
        </w:rPr>
        <w:t>should</w:t>
      </w:r>
      <w:r>
        <w:rPr>
          <w:spacing w:val="23"/>
          <w:sz w:val="22"/>
        </w:rPr>
        <w:t> </w:t>
      </w:r>
      <w:r>
        <w:rPr>
          <w:sz w:val="22"/>
        </w:rPr>
        <w:t>be</w:t>
      </w:r>
      <w:r>
        <w:rPr>
          <w:spacing w:val="22"/>
          <w:sz w:val="22"/>
        </w:rPr>
        <w:t> </w:t>
      </w:r>
      <w:r>
        <w:rPr>
          <w:sz w:val="22"/>
        </w:rPr>
        <w:t>aware</w:t>
      </w:r>
      <w:r>
        <w:rPr>
          <w:spacing w:val="26"/>
          <w:sz w:val="22"/>
        </w:rPr>
        <w:t> </w:t>
      </w:r>
      <w:r>
        <w:rPr>
          <w:sz w:val="22"/>
        </w:rPr>
        <w:t>of</w:t>
      </w:r>
      <w:r>
        <w:rPr>
          <w:spacing w:val="22"/>
          <w:sz w:val="22"/>
        </w:rPr>
        <w:t> </w:t>
      </w:r>
      <w:r>
        <w:rPr>
          <w:sz w:val="22"/>
        </w:rPr>
        <w:t>CO</w:t>
      </w:r>
      <w:r>
        <w:rPr>
          <w:spacing w:val="26"/>
          <w:sz w:val="22"/>
        </w:rPr>
        <w:t> </w:t>
      </w:r>
      <w:r>
        <w:rPr>
          <w:sz w:val="22"/>
        </w:rPr>
        <w:t>toxicity and</w:t>
      </w:r>
      <w:r>
        <w:rPr>
          <w:spacing w:val="28"/>
          <w:sz w:val="22"/>
        </w:rPr>
        <w:t> </w:t>
      </w:r>
      <w:r>
        <w:rPr>
          <w:sz w:val="22"/>
        </w:rPr>
        <w:t>avoid</w:t>
      </w:r>
      <w:r>
        <w:rPr>
          <w:spacing w:val="34"/>
          <w:sz w:val="22"/>
        </w:rPr>
        <w:t> </w:t>
      </w:r>
      <w:r>
        <w:rPr>
          <w:sz w:val="22"/>
        </w:rPr>
        <w:t>frequent</w:t>
      </w:r>
      <w:r>
        <w:rPr>
          <w:spacing w:val="31"/>
          <w:sz w:val="22"/>
        </w:rPr>
        <w:t> </w:t>
      </w:r>
      <w:r>
        <w:rPr>
          <w:sz w:val="22"/>
        </w:rPr>
        <w:t>exposure</w:t>
      </w:r>
      <w:r>
        <w:rPr>
          <w:spacing w:val="26"/>
          <w:sz w:val="22"/>
        </w:rPr>
        <w:t> </w:t>
      </w:r>
      <w:r>
        <w:rPr>
          <w:sz w:val="22"/>
        </w:rPr>
        <w:t>in</w:t>
      </w:r>
      <w:r>
        <w:rPr>
          <w:spacing w:val="23"/>
          <w:sz w:val="22"/>
        </w:rPr>
        <w:t> </w:t>
      </w:r>
      <w:r>
        <w:rPr>
          <w:sz w:val="22"/>
        </w:rPr>
        <w:t>order</w:t>
      </w:r>
      <w:r>
        <w:rPr>
          <w:spacing w:val="27"/>
          <w:sz w:val="22"/>
        </w:rPr>
        <w:t> </w:t>
      </w:r>
      <w:r>
        <w:rPr>
          <w:sz w:val="22"/>
        </w:rPr>
        <w:t>to safe guard their health.</w:t>
      </w:r>
    </w:p>
    <w:p>
      <w:pPr>
        <w:pStyle w:val="ListParagraph"/>
        <w:numPr>
          <w:ilvl w:val="2"/>
          <w:numId w:val="28"/>
        </w:numPr>
        <w:tabs>
          <w:tab w:pos="1340" w:val="left" w:leader="none"/>
          <w:tab w:pos="1342" w:val="left" w:leader="none"/>
        </w:tabs>
        <w:spacing w:line="491" w:lineRule="auto" w:before="0" w:after="0"/>
        <w:ind w:left="1342" w:right="905" w:hanging="336"/>
        <w:jc w:val="left"/>
        <w:rPr>
          <w:sz w:val="22"/>
        </w:rPr>
      </w:pPr>
      <w:r>
        <w:rPr>
          <w:sz w:val="22"/>
        </w:rPr>
        <w:t>Government should be more concerned about environmental pollution and ways</w:t>
      </w:r>
      <w:r>
        <w:rPr>
          <w:spacing w:val="80"/>
          <w:sz w:val="22"/>
        </w:rPr>
        <w:t> </w:t>
      </w:r>
      <w:r>
        <w:rPr>
          <w:sz w:val="22"/>
        </w:rPr>
        <w:t>of managing it.</w:t>
      </w:r>
    </w:p>
    <w:p>
      <w:pPr>
        <w:spacing w:after="0" w:line="491" w:lineRule="auto"/>
        <w:jc w:val="left"/>
        <w:rPr>
          <w:sz w:val="22"/>
        </w:rPr>
        <w:sectPr>
          <w:pgSz w:w="12240" w:h="15840"/>
          <w:pgMar w:header="0" w:footer="916" w:top="1260" w:bottom="1100" w:left="1720" w:right="960"/>
        </w:sectPr>
      </w:pPr>
    </w:p>
    <w:p>
      <w:pPr>
        <w:pStyle w:val="Heading1"/>
        <w:ind w:right="237"/>
      </w:pPr>
      <w:bookmarkStart w:name="_TOC_250001" w:id="56"/>
      <w:bookmarkEnd w:id="56"/>
      <w:r>
        <w:rPr>
          <w:spacing w:val="-2"/>
        </w:rPr>
        <w:t>REFERENCES</w:t>
      </w:r>
    </w:p>
    <w:p>
      <w:pPr>
        <w:pStyle w:val="BodyText"/>
        <w:spacing w:before="227"/>
        <w:rPr>
          <w:b/>
          <w:sz w:val="26"/>
        </w:rPr>
      </w:pPr>
    </w:p>
    <w:p>
      <w:pPr>
        <w:spacing w:line="244" w:lineRule="auto" w:before="0"/>
        <w:ind w:left="1342" w:right="895" w:hanging="677"/>
        <w:jc w:val="both"/>
        <w:rPr>
          <w:sz w:val="22"/>
        </w:rPr>
      </w:pPr>
      <w:r>
        <w:rPr>
          <w:sz w:val="22"/>
        </w:rPr>
        <w:t>Abbaspour, M. and Soltaninejad, A. (2004). Design of an environmental assessment</w:t>
      </w:r>
      <w:r>
        <w:rPr>
          <w:spacing w:val="40"/>
          <w:sz w:val="22"/>
        </w:rPr>
        <w:t> </w:t>
      </w:r>
      <w:r>
        <w:rPr>
          <w:sz w:val="22"/>
        </w:rPr>
        <w:t>model</w:t>
      </w:r>
      <w:r>
        <w:rPr>
          <w:spacing w:val="40"/>
          <w:sz w:val="22"/>
        </w:rPr>
        <w:t> </w:t>
      </w:r>
      <w:r>
        <w:rPr>
          <w:sz w:val="22"/>
        </w:rPr>
        <w:t>on</w:t>
      </w:r>
      <w:r>
        <w:rPr>
          <w:spacing w:val="40"/>
          <w:sz w:val="22"/>
        </w:rPr>
        <w:t> </w:t>
      </w:r>
      <w:r>
        <w:rPr>
          <w:sz w:val="22"/>
        </w:rPr>
        <w:t>the</w:t>
      </w:r>
      <w:r>
        <w:rPr>
          <w:spacing w:val="40"/>
          <w:sz w:val="22"/>
        </w:rPr>
        <w:t> </w:t>
      </w:r>
      <w:r>
        <w:rPr>
          <w:sz w:val="22"/>
        </w:rPr>
        <w:t>effect</w:t>
      </w:r>
      <w:r>
        <w:rPr>
          <w:spacing w:val="40"/>
          <w:sz w:val="22"/>
        </w:rPr>
        <w:t> </w:t>
      </w:r>
      <w:r>
        <w:rPr>
          <w:sz w:val="22"/>
        </w:rPr>
        <w:t>of</w:t>
      </w:r>
      <w:r>
        <w:rPr>
          <w:spacing w:val="40"/>
          <w:sz w:val="22"/>
        </w:rPr>
        <w:t> </w:t>
      </w:r>
      <w:r>
        <w:rPr>
          <w:sz w:val="22"/>
        </w:rPr>
        <w:t>vehicle</w:t>
      </w:r>
      <w:r>
        <w:rPr>
          <w:spacing w:val="40"/>
          <w:sz w:val="22"/>
        </w:rPr>
        <w:t> </w:t>
      </w:r>
      <w:r>
        <w:rPr>
          <w:sz w:val="22"/>
        </w:rPr>
        <w:t>emissions.</w:t>
      </w:r>
      <w:r>
        <w:rPr>
          <w:spacing w:val="40"/>
          <w:sz w:val="22"/>
        </w:rPr>
        <w:t> </w:t>
      </w:r>
      <w:r>
        <w:rPr>
          <w:i/>
          <w:sz w:val="22"/>
        </w:rPr>
        <w:t>International</w:t>
      </w:r>
      <w:r>
        <w:rPr>
          <w:i/>
          <w:spacing w:val="40"/>
          <w:sz w:val="22"/>
        </w:rPr>
        <w:t> </w:t>
      </w:r>
      <w:r>
        <w:rPr>
          <w:i/>
          <w:sz w:val="22"/>
        </w:rPr>
        <w:t>Journal</w:t>
      </w:r>
      <w:r>
        <w:rPr>
          <w:i/>
          <w:spacing w:val="40"/>
          <w:sz w:val="22"/>
        </w:rPr>
        <w:t> </w:t>
      </w:r>
      <w:r>
        <w:rPr>
          <w:i/>
          <w:sz w:val="22"/>
        </w:rPr>
        <w:t>of Environmental Science Technology, </w:t>
      </w:r>
      <w:r>
        <w:rPr>
          <w:sz w:val="22"/>
        </w:rPr>
        <w:t>1(1): 27-38.</w:t>
      </w:r>
    </w:p>
    <w:p>
      <w:pPr>
        <w:pStyle w:val="BodyText"/>
        <w:spacing w:before="9"/>
      </w:pPr>
    </w:p>
    <w:p>
      <w:pPr>
        <w:pStyle w:val="BodyText"/>
        <w:spacing w:line="244" w:lineRule="auto" w:before="1"/>
        <w:ind w:left="1342" w:right="902" w:hanging="677"/>
        <w:jc w:val="both"/>
      </w:pPr>
      <w:r>
        <w:rPr/>
        <w:t>Abelsohn, A., Sanborn, M.D., Jessiman, B.J., and Weir, E. (2002). Identifying and managing adverse environmental health effects, </w:t>
      </w:r>
      <w:r>
        <w:rPr>
          <w:i/>
        </w:rPr>
        <w:t>Canadian Medical Association Journal</w:t>
      </w:r>
      <w:r>
        <w:rPr/>
        <w:t>, 166(13): 1685-1690.</w:t>
      </w:r>
    </w:p>
    <w:p>
      <w:pPr>
        <w:pStyle w:val="BodyText"/>
        <w:spacing w:before="9"/>
      </w:pPr>
    </w:p>
    <w:p>
      <w:pPr>
        <w:pStyle w:val="BodyText"/>
        <w:spacing w:line="247" w:lineRule="auto"/>
        <w:ind w:left="1342" w:right="901" w:hanging="677"/>
        <w:jc w:val="both"/>
      </w:pPr>
      <w:r>
        <w:rPr/>
        <w:t>Akinbami, J.F.K. (2001). Renewable Energy resources and Technologies in Nigeria: Present situation, future prospects and policy frame work. Mitigation and Adaptation strategies for global change. </w:t>
      </w:r>
      <w:r>
        <w:rPr>
          <w:i/>
        </w:rPr>
        <w:t>Kluwer Academic Publishers</w:t>
      </w:r>
      <w:r>
        <w:rPr/>
        <w:t>, Neitherlands, 6: 155-181.</w:t>
      </w:r>
    </w:p>
    <w:p>
      <w:pPr>
        <w:pStyle w:val="BodyText"/>
        <w:spacing w:before="6"/>
      </w:pPr>
    </w:p>
    <w:p>
      <w:pPr>
        <w:pStyle w:val="BodyText"/>
        <w:spacing w:line="244" w:lineRule="auto"/>
        <w:ind w:left="1342" w:right="895" w:hanging="677"/>
        <w:jc w:val="both"/>
      </w:pPr>
      <w:r>
        <w:rPr/>
        <w:t>Allen, E.R. (1977). Properties and reactions of carbon monoxide, in Carbon Monoxide (National Research Council—Subcommittee on Carbon Monoxide). </w:t>
      </w:r>
      <w:r>
        <w:rPr>
          <w:i/>
        </w:rPr>
        <w:t>National Academy of Sciences, </w:t>
      </w:r>
      <w:r>
        <w:rPr/>
        <w:t>4–27.</w:t>
      </w:r>
    </w:p>
    <w:p>
      <w:pPr>
        <w:pStyle w:val="BodyText"/>
        <w:spacing w:before="9"/>
      </w:pPr>
    </w:p>
    <w:p>
      <w:pPr>
        <w:pStyle w:val="BodyText"/>
        <w:spacing w:line="244" w:lineRule="auto" w:before="1"/>
        <w:ind w:left="1342" w:right="897" w:hanging="677"/>
        <w:jc w:val="both"/>
      </w:pPr>
      <w:r>
        <w:rPr/>
        <w:t>Amitai, Y., Zlotogorski, Z., Golan-Katzav, V., Wexler, A. and Gross, D. (1998). Neuropsychological impairment from acute low-level exposure to carbon monoxide. </w:t>
      </w:r>
      <w:r>
        <w:rPr>
          <w:i/>
        </w:rPr>
        <w:t>Archives of</w:t>
      </w:r>
      <w:r>
        <w:rPr>
          <w:i/>
          <w:spacing w:val="40"/>
        </w:rPr>
        <w:t> </w:t>
      </w:r>
      <w:r>
        <w:rPr>
          <w:i/>
        </w:rPr>
        <w:t>Neurology, </w:t>
      </w:r>
      <w:r>
        <w:rPr/>
        <w:t>55: 845-8.</w:t>
      </w:r>
    </w:p>
    <w:p>
      <w:pPr>
        <w:pStyle w:val="BodyText"/>
        <w:spacing w:before="9"/>
      </w:pPr>
    </w:p>
    <w:p>
      <w:pPr>
        <w:pStyle w:val="BodyText"/>
        <w:spacing w:line="244" w:lineRule="auto"/>
        <w:ind w:left="1342" w:right="895" w:hanging="677"/>
        <w:jc w:val="both"/>
      </w:pPr>
      <w:r>
        <w:rPr/>
        <w:t>Andrea,</w:t>
      </w:r>
      <w:r>
        <w:rPr>
          <w:spacing w:val="40"/>
        </w:rPr>
        <w:t> </w:t>
      </w:r>
      <w:r>
        <w:rPr/>
        <w:t>V., Stefania,</w:t>
      </w:r>
      <w:r>
        <w:rPr>
          <w:spacing w:val="40"/>
        </w:rPr>
        <w:t> </w:t>
      </w:r>
      <w:r>
        <w:rPr/>
        <w:t>R., Pierluigi,</w:t>
      </w:r>
      <w:r>
        <w:rPr>
          <w:spacing w:val="40"/>
        </w:rPr>
        <w:t> </w:t>
      </w:r>
      <w:r>
        <w:rPr/>
        <w:t>S., Mauro,</w:t>
      </w:r>
      <w:r>
        <w:rPr>
          <w:spacing w:val="40"/>
        </w:rPr>
        <w:t> </w:t>
      </w:r>
      <w:r>
        <w:rPr/>
        <w:t>F., Raffaele,</w:t>
      </w:r>
      <w:r>
        <w:rPr>
          <w:spacing w:val="40"/>
        </w:rPr>
        <w:t> </w:t>
      </w:r>
      <w:r>
        <w:rPr/>
        <w:t>C., Addolorata,</w:t>
      </w:r>
      <w:r>
        <w:rPr>
          <w:spacing w:val="40"/>
        </w:rPr>
        <w:t> </w:t>
      </w:r>
      <w:r>
        <w:rPr/>
        <w:t>C., Giampaolo,</w:t>
      </w:r>
      <w:r>
        <w:rPr>
          <w:spacing w:val="40"/>
        </w:rPr>
        <w:t> </w:t>
      </w:r>
      <w:r>
        <w:rPr/>
        <w:t>M., Luca,</w:t>
      </w:r>
      <w:r>
        <w:rPr>
          <w:spacing w:val="40"/>
        </w:rPr>
        <w:t> </w:t>
      </w:r>
      <w:r>
        <w:rPr/>
        <w:t>S., Maria,</w:t>
      </w:r>
      <w:r>
        <w:rPr>
          <w:spacing w:val="40"/>
        </w:rPr>
        <w:t> </w:t>
      </w:r>
      <w:r>
        <w:rPr/>
        <w:t>T., Luigia,</w:t>
      </w:r>
      <w:r>
        <w:rPr>
          <w:spacing w:val="40"/>
        </w:rPr>
        <w:t> </w:t>
      </w:r>
      <w:r>
        <w:rPr/>
        <w:t>T. and Vincenzo,</w:t>
      </w:r>
      <w:r>
        <w:rPr>
          <w:spacing w:val="40"/>
        </w:rPr>
        <w:t> </w:t>
      </w:r>
      <w:r>
        <w:rPr/>
        <w:t>C. (2001).</w:t>
      </w:r>
      <w:r>
        <w:rPr>
          <w:spacing w:val="40"/>
        </w:rPr>
        <w:t> </w:t>
      </w:r>
      <w:r>
        <w:rPr/>
        <w:t>Prenatal low-level exposure to CO alters postnatal development of hippocampal nitric</w:t>
      </w:r>
      <w:r>
        <w:rPr>
          <w:spacing w:val="40"/>
        </w:rPr>
        <w:t> </w:t>
      </w:r>
      <w:r>
        <w:rPr/>
        <w:t>oxide</w:t>
      </w:r>
      <w:r>
        <w:rPr>
          <w:spacing w:val="40"/>
        </w:rPr>
        <w:t> </w:t>
      </w:r>
      <w:r>
        <w:rPr/>
        <w:t>synthase</w:t>
      </w:r>
      <w:r>
        <w:rPr>
          <w:spacing w:val="40"/>
        </w:rPr>
        <w:t> </w:t>
      </w:r>
      <w:r>
        <w:rPr/>
        <w:t>and</w:t>
      </w:r>
      <w:r>
        <w:rPr>
          <w:spacing w:val="40"/>
        </w:rPr>
        <w:t> </w:t>
      </w:r>
      <w:r>
        <w:rPr/>
        <w:t>haem-oxygenase</w:t>
      </w:r>
      <w:r>
        <w:rPr>
          <w:spacing w:val="40"/>
        </w:rPr>
        <w:t> </w:t>
      </w:r>
      <w:r>
        <w:rPr/>
        <w:t>activities</w:t>
      </w:r>
      <w:r>
        <w:rPr>
          <w:spacing w:val="40"/>
        </w:rPr>
        <w:t> </w:t>
      </w:r>
      <w:r>
        <w:rPr/>
        <w:t>in</w:t>
      </w:r>
      <w:r>
        <w:rPr>
          <w:spacing w:val="40"/>
        </w:rPr>
        <w:t> </w:t>
      </w:r>
      <w:r>
        <w:rPr/>
        <w:t>rats.</w:t>
      </w:r>
      <w:r>
        <w:rPr>
          <w:spacing w:val="40"/>
        </w:rPr>
        <w:t> </w:t>
      </w:r>
      <w:r>
        <w:rPr>
          <w:i/>
        </w:rPr>
        <w:t>International Journal of Neuropsychopharmacology, </w:t>
      </w:r>
      <w:r>
        <w:rPr/>
        <w:t>4: 219-222.</w:t>
      </w:r>
    </w:p>
    <w:p>
      <w:pPr>
        <w:pStyle w:val="BodyText"/>
        <w:spacing w:before="12"/>
      </w:pPr>
    </w:p>
    <w:p>
      <w:pPr>
        <w:spacing w:line="244" w:lineRule="auto" w:before="0"/>
        <w:ind w:left="1342" w:right="903" w:hanging="677"/>
        <w:jc w:val="both"/>
        <w:rPr>
          <w:sz w:val="22"/>
        </w:rPr>
      </w:pPr>
      <w:r>
        <w:rPr>
          <w:sz w:val="22"/>
        </w:rPr>
        <w:t>Anger, W.K. (1984). Neurobehavioral testing of chemicals: impact on recommended standards. </w:t>
      </w:r>
      <w:r>
        <w:rPr>
          <w:i/>
          <w:sz w:val="22"/>
        </w:rPr>
        <w:t>Neurobehavior Toxicology and Teratology, </w:t>
      </w:r>
      <w:r>
        <w:rPr>
          <w:sz w:val="22"/>
        </w:rPr>
        <w:t>6: 147–153.</w:t>
      </w:r>
    </w:p>
    <w:p>
      <w:pPr>
        <w:pStyle w:val="BodyText"/>
        <w:spacing w:before="9"/>
      </w:pPr>
    </w:p>
    <w:p>
      <w:pPr>
        <w:spacing w:line="244" w:lineRule="auto" w:before="0"/>
        <w:ind w:left="1342" w:right="896" w:hanging="677"/>
        <w:jc w:val="both"/>
        <w:rPr>
          <w:sz w:val="22"/>
        </w:rPr>
      </w:pPr>
      <w:r>
        <w:rPr>
          <w:sz w:val="22"/>
        </w:rPr>
        <w:t>Ajayi, A. and Dosunmu, O. (2002). Environmental hazards of importing used</w:t>
      </w:r>
      <w:r>
        <w:rPr>
          <w:spacing w:val="40"/>
          <w:sz w:val="22"/>
        </w:rPr>
        <w:t> </w:t>
      </w:r>
      <w:r>
        <w:rPr>
          <w:sz w:val="22"/>
        </w:rPr>
        <w:t>vehicles</w:t>
      </w:r>
      <w:r>
        <w:rPr>
          <w:spacing w:val="40"/>
          <w:sz w:val="22"/>
        </w:rPr>
        <w:t> </w:t>
      </w:r>
      <w:r>
        <w:rPr>
          <w:sz w:val="22"/>
        </w:rPr>
        <w:t>into Nigeria. </w:t>
      </w:r>
      <w:r>
        <w:rPr>
          <w:i/>
          <w:sz w:val="22"/>
        </w:rPr>
        <w:t>Proceedings of International Symposium on</w:t>
      </w:r>
      <w:r>
        <w:rPr>
          <w:i/>
          <w:spacing w:val="40"/>
          <w:sz w:val="22"/>
        </w:rPr>
        <w:t> </w:t>
      </w:r>
      <w:r>
        <w:rPr>
          <w:i/>
          <w:sz w:val="22"/>
        </w:rPr>
        <w:t>Environmental</w:t>
      </w:r>
      <w:r>
        <w:rPr>
          <w:i/>
          <w:spacing w:val="80"/>
          <w:sz w:val="22"/>
        </w:rPr>
        <w:t> </w:t>
      </w:r>
      <w:r>
        <w:rPr>
          <w:i/>
          <w:sz w:val="22"/>
        </w:rPr>
        <w:t>Pollution Control and Waste Management, </w:t>
      </w:r>
      <w:r>
        <w:rPr>
          <w:sz w:val="22"/>
        </w:rPr>
        <w:t>Tunis (EPCOWM’2002), 521-532.</w:t>
      </w:r>
    </w:p>
    <w:p>
      <w:pPr>
        <w:pStyle w:val="BodyText"/>
        <w:spacing w:before="9"/>
      </w:pPr>
    </w:p>
    <w:p>
      <w:pPr>
        <w:pStyle w:val="BodyText"/>
        <w:spacing w:line="244" w:lineRule="auto" w:before="1"/>
        <w:ind w:left="1342" w:right="901" w:hanging="677"/>
        <w:jc w:val="both"/>
      </w:pPr>
      <w:r>
        <w:rPr/>
        <w:t>Augustine,</w:t>
      </w:r>
      <w:r>
        <w:rPr>
          <w:spacing w:val="40"/>
        </w:rPr>
        <w:t> </w:t>
      </w:r>
      <w:r>
        <w:rPr/>
        <w:t>M.K.,</w:t>
      </w:r>
      <w:r>
        <w:rPr>
          <w:spacing w:val="40"/>
        </w:rPr>
        <w:t> </w:t>
      </w:r>
      <w:r>
        <w:rPr/>
        <w:t>Choi.,</w:t>
      </w:r>
      <w:r>
        <w:rPr>
          <w:spacing w:val="40"/>
        </w:rPr>
        <w:t> </w:t>
      </w:r>
      <w:r>
        <w:rPr/>
        <w:t>Leo,</w:t>
      </w:r>
      <w:r>
        <w:rPr>
          <w:spacing w:val="40"/>
        </w:rPr>
        <w:t> </w:t>
      </w:r>
      <w:r>
        <w:rPr/>
        <w:t>E.</w:t>
      </w:r>
      <w:r>
        <w:rPr>
          <w:spacing w:val="40"/>
        </w:rPr>
        <w:t> </w:t>
      </w:r>
      <w:r>
        <w:rPr/>
        <w:t>and</w:t>
      </w:r>
      <w:r>
        <w:rPr>
          <w:spacing w:val="40"/>
        </w:rPr>
        <w:t> </w:t>
      </w:r>
      <w:r>
        <w:rPr/>
        <w:t>Otterbein.</w:t>
      </w:r>
      <w:r>
        <w:rPr>
          <w:spacing w:val="40"/>
        </w:rPr>
        <w:t> </w:t>
      </w:r>
      <w:r>
        <w:rPr/>
        <w:t>(2002).</w:t>
      </w:r>
      <w:r>
        <w:rPr>
          <w:spacing w:val="40"/>
        </w:rPr>
        <w:t> </w:t>
      </w:r>
      <w:r>
        <w:rPr/>
        <w:t>Antioxidant</w:t>
      </w:r>
      <w:r>
        <w:rPr>
          <w:spacing w:val="40"/>
        </w:rPr>
        <w:t> </w:t>
      </w:r>
      <w:r>
        <w:rPr/>
        <w:t>and</w:t>
      </w:r>
      <w:r>
        <w:rPr>
          <w:spacing w:val="40"/>
        </w:rPr>
        <w:t> </w:t>
      </w:r>
      <w:r>
        <w:rPr/>
        <w:t>Redox Signaling. Emerging role of carbon monoxide in physiologic and</w:t>
      </w:r>
      <w:r>
        <w:rPr>
          <w:spacing w:val="80"/>
        </w:rPr>
        <w:t> </w:t>
      </w:r>
      <w:r>
        <w:rPr/>
        <w:t>pathophysiologic states. </w:t>
      </w:r>
      <w:r>
        <w:rPr>
          <w:i/>
        </w:rPr>
        <w:t>Mary Ann Liebert, Inc. Journal, </w:t>
      </w:r>
      <w:r>
        <w:rPr/>
        <w:t>4(2): 227-228.</w:t>
      </w:r>
    </w:p>
    <w:p>
      <w:pPr>
        <w:pStyle w:val="BodyText"/>
        <w:spacing w:before="14"/>
      </w:pPr>
    </w:p>
    <w:p>
      <w:pPr>
        <w:spacing w:line="244" w:lineRule="auto" w:before="0"/>
        <w:ind w:left="1342" w:right="900" w:hanging="677"/>
        <w:jc w:val="both"/>
        <w:rPr>
          <w:sz w:val="22"/>
        </w:rPr>
      </w:pPr>
      <w:r>
        <w:rPr>
          <w:sz w:val="22"/>
        </w:rPr>
        <w:t>Augustine C.</w:t>
      </w:r>
      <w:r>
        <w:rPr>
          <w:spacing w:val="40"/>
          <w:sz w:val="22"/>
        </w:rPr>
        <w:t> </w:t>
      </w:r>
      <w:r>
        <w:rPr>
          <w:sz w:val="22"/>
        </w:rPr>
        <w:t>(2012). Impact of air pollution on the environment in Port Harcourt,</w:t>
      </w:r>
      <w:r>
        <w:rPr>
          <w:spacing w:val="40"/>
          <w:sz w:val="22"/>
        </w:rPr>
        <w:t> </w:t>
      </w:r>
      <w:r>
        <w:rPr>
          <w:sz w:val="22"/>
        </w:rPr>
        <w:t>Nigeria.</w:t>
      </w:r>
      <w:r>
        <w:rPr>
          <w:spacing w:val="33"/>
          <w:sz w:val="22"/>
        </w:rPr>
        <w:t> </w:t>
      </w:r>
      <w:r>
        <w:rPr>
          <w:i/>
          <w:sz w:val="22"/>
        </w:rPr>
        <w:t>Journal of Environmental Science and</w:t>
      </w:r>
      <w:r>
        <w:rPr>
          <w:i/>
          <w:spacing w:val="34"/>
          <w:sz w:val="22"/>
        </w:rPr>
        <w:t> </w:t>
      </w:r>
      <w:r>
        <w:rPr>
          <w:i/>
          <w:sz w:val="22"/>
        </w:rPr>
        <w:t>Water Resources</w:t>
      </w:r>
      <w:r>
        <w:rPr>
          <w:sz w:val="22"/>
        </w:rPr>
        <w:t>, 1(3): 46 – 51.</w:t>
      </w:r>
    </w:p>
    <w:p>
      <w:pPr>
        <w:pStyle w:val="BodyText"/>
        <w:spacing w:before="8"/>
      </w:pPr>
    </w:p>
    <w:p>
      <w:pPr>
        <w:spacing w:line="244" w:lineRule="auto" w:before="1"/>
        <w:ind w:left="1342" w:right="896" w:hanging="677"/>
        <w:jc w:val="both"/>
        <w:rPr>
          <w:sz w:val="22"/>
        </w:rPr>
      </w:pPr>
      <w:r>
        <w:rPr>
          <w:sz w:val="22"/>
        </w:rPr>
        <w:t>Ayodele, J.T., Adekiya A.O. and Yakubu, I. (2007). Carbon Monoxide as Indoor</w:t>
      </w:r>
      <w:r>
        <w:rPr>
          <w:spacing w:val="80"/>
          <w:sz w:val="22"/>
        </w:rPr>
        <w:t> </w:t>
      </w:r>
      <w:r>
        <w:rPr>
          <w:sz w:val="22"/>
        </w:rPr>
        <w:t>Pollutant in Kano Metropolis. </w:t>
      </w:r>
      <w:r>
        <w:rPr>
          <w:i/>
          <w:sz w:val="22"/>
        </w:rPr>
        <w:t>Journal of Applied Science and Environmental Management, </w:t>
      </w:r>
      <w:r>
        <w:rPr>
          <w:sz w:val="22"/>
        </w:rPr>
        <w:t>11(3): 27 -30.</w:t>
      </w:r>
    </w:p>
    <w:p>
      <w:pPr>
        <w:spacing w:after="0" w:line="244" w:lineRule="auto"/>
        <w:jc w:val="both"/>
        <w:rPr>
          <w:sz w:val="22"/>
        </w:rPr>
        <w:sectPr>
          <w:pgSz w:w="12240" w:h="15840"/>
          <w:pgMar w:header="0" w:footer="916" w:top="1260" w:bottom="1100" w:left="1720" w:right="960"/>
        </w:sectPr>
      </w:pPr>
    </w:p>
    <w:p>
      <w:pPr>
        <w:pStyle w:val="BodyText"/>
        <w:spacing w:line="244" w:lineRule="auto" w:before="75"/>
        <w:ind w:left="1342" w:right="898" w:hanging="677"/>
        <w:jc w:val="both"/>
      </w:pPr>
      <w:r>
        <w:rPr/>
        <w:t>Bannerman, D.M., Chapman, P.F., Kelly, P.A.T., Butcher, S.P. and Morris, R.G.M. (1994). Inhibition of Nitric Oxide synthase does not impair spatial learning. </w:t>
      </w:r>
      <w:r>
        <w:rPr>
          <w:i/>
        </w:rPr>
        <w:t>Journal of Neuroscience, </w:t>
      </w:r>
      <w:r>
        <w:rPr/>
        <w:t>14: 7404–7414.</w:t>
      </w:r>
    </w:p>
    <w:p>
      <w:pPr>
        <w:pStyle w:val="BodyText"/>
        <w:spacing w:before="10"/>
      </w:pPr>
    </w:p>
    <w:p>
      <w:pPr>
        <w:pStyle w:val="BodyText"/>
        <w:spacing w:line="244" w:lineRule="auto"/>
        <w:ind w:left="1342" w:right="897" w:hanging="677"/>
        <w:jc w:val="both"/>
      </w:pPr>
      <w:r>
        <w:rPr/>
        <w:t>Benignus, V.A., Muller, K.E. and Malott, C.M. (1990). Dose-effects functions for carboxyhemoglobin and behavior.</w:t>
      </w:r>
      <w:r>
        <w:rPr>
          <w:spacing w:val="40"/>
        </w:rPr>
        <w:t> </w:t>
      </w:r>
      <w:r>
        <w:rPr>
          <w:i/>
        </w:rPr>
        <w:t>Neurotoxicology and Teratology</w:t>
      </w:r>
      <w:r>
        <w:rPr/>
        <w:t>, 12(2): 111- </w:t>
      </w:r>
      <w:r>
        <w:rPr>
          <w:spacing w:val="-4"/>
        </w:rPr>
        <w:t>118.</w:t>
      </w:r>
    </w:p>
    <w:p>
      <w:pPr>
        <w:pStyle w:val="BodyText"/>
        <w:spacing w:before="9"/>
      </w:pPr>
    </w:p>
    <w:p>
      <w:pPr>
        <w:spacing w:line="244" w:lineRule="auto" w:before="1"/>
        <w:ind w:left="1342" w:right="899" w:hanging="677"/>
        <w:jc w:val="both"/>
        <w:rPr>
          <w:sz w:val="22"/>
        </w:rPr>
      </w:pPr>
      <w:r>
        <w:rPr>
          <w:sz w:val="22"/>
        </w:rPr>
        <w:t>Bruce, N., Rogelio, P. and Albalak, R. (2000). Indoor air pollution in developing</w:t>
      </w:r>
      <w:r>
        <w:rPr>
          <w:spacing w:val="40"/>
          <w:sz w:val="22"/>
        </w:rPr>
        <w:t> </w:t>
      </w:r>
      <w:r>
        <w:rPr>
          <w:sz w:val="22"/>
        </w:rPr>
        <w:t>countries: a major environmental and public health challenge. </w:t>
      </w:r>
      <w:r>
        <w:rPr>
          <w:i/>
          <w:sz w:val="22"/>
        </w:rPr>
        <w:t>World Health Organization, Environment and Health</w:t>
      </w:r>
      <w:r>
        <w:rPr>
          <w:sz w:val="22"/>
        </w:rPr>
        <w:t>, 78(9).</w:t>
      </w:r>
    </w:p>
    <w:p>
      <w:pPr>
        <w:pStyle w:val="BodyText"/>
        <w:spacing w:before="9"/>
      </w:pPr>
    </w:p>
    <w:p>
      <w:pPr>
        <w:spacing w:line="249" w:lineRule="auto" w:before="0"/>
        <w:ind w:left="1342" w:right="903" w:hanging="677"/>
        <w:jc w:val="both"/>
        <w:rPr>
          <w:sz w:val="22"/>
        </w:rPr>
      </w:pPr>
      <w:r>
        <w:rPr>
          <w:sz w:val="22"/>
        </w:rPr>
        <w:t>Brown, S.D. and Piantadosi, C.A. (1992). Recovery of energy metabolism in rat brain</w:t>
      </w:r>
      <w:r>
        <w:rPr>
          <w:spacing w:val="40"/>
          <w:sz w:val="22"/>
        </w:rPr>
        <w:t> </w:t>
      </w:r>
      <w:r>
        <w:rPr>
          <w:sz w:val="22"/>
        </w:rPr>
        <w:t>after carbon monoxide hypoxia. </w:t>
      </w:r>
      <w:r>
        <w:rPr>
          <w:i/>
          <w:sz w:val="22"/>
        </w:rPr>
        <w:t>Journal of Clinical Investigation, </w:t>
      </w:r>
      <w:r>
        <w:rPr>
          <w:sz w:val="22"/>
        </w:rPr>
        <w:t>89: 666-672.</w:t>
      </w:r>
    </w:p>
    <w:p>
      <w:pPr>
        <w:pStyle w:val="BodyText"/>
        <w:spacing w:before="3"/>
      </w:pPr>
    </w:p>
    <w:p>
      <w:pPr>
        <w:spacing w:before="0"/>
        <w:ind w:left="1342" w:right="895" w:hanging="677"/>
        <w:jc w:val="both"/>
        <w:rPr>
          <w:sz w:val="22"/>
        </w:rPr>
      </w:pPr>
      <w:r>
        <w:rPr>
          <w:sz w:val="22"/>
        </w:rPr>
        <w:t>Brunekreef, B. (2005). Out of Africa. </w:t>
      </w:r>
      <w:r>
        <w:rPr>
          <w:i/>
          <w:sz w:val="22"/>
        </w:rPr>
        <w:t>Occupational and Environmental Medicine</w:t>
      </w:r>
      <w:r>
        <w:rPr>
          <w:sz w:val="22"/>
        </w:rPr>
        <w:t>. 62:</w:t>
      </w:r>
      <w:r>
        <w:rPr>
          <w:spacing w:val="40"/>
          <w:sz w:val="22"/>
        </w:rPr>
        <w:t> </w:t>
      </w:r>
      <w:r>
        <w:rPr>
          <w:spacing w:val="-2"/>
          <w:sz w:val="22"/>
        </w:rPr>
        <w:t>351-352.</w:t>
      </w:r>
    </w:p>
    <w:p>
      <w:pPr>
        <w:pStyle w:val="BodyText"/>
        <w:spacing w:before="14"/>
      </w:pPr>
    </w:p>
    <w:p>
      <w:pPr>
        <w:pStyle w:val="BodyText"/>
        <w:spacing w:line="249" w:lineRule="auto"/>
        <w:ind w:left="1342" w:right="903" w:hanging="677"/>
        <w:jc w:val="both"/>
      </w:pPr>
      <w:r>
        <w:rPr/>
        <w:t>Boehning, D., Moon, C. and Sharma, S. (2003). Carbon monoxide neurotransmission activated</w:t>
      </w:r>
      <w:r>
        <w:rPr>
          <w:spacing w:val="40"/>
        </w:rPr>
        <w:t> </w:t>
      </w:r>
      <w:r>
        <w:rPr/>
        <w:t>by CK2 phosphorylation of haeme oxygenase-2. </w:t>
      </w:r>
      <w:r>
        <w:rPr>
          <w:i/>
        </w:rPr>
        <w:t>Neuron, </w:t>
      </w:r>
      <w:r>
        <w:rPr/>
        <w:t>40: 129-37.</w:t>
      </w:r>
    </w:p>
    <w:p>
      <w:pPr>
        <w:pStyle w:val="BodyText"/>
        <w:spacing w:before="3"/>
      </w:pPr>
    </w:p>
    <w:p>
      <w:pPr>
        <w:spacing w:line="244" w:lineRule="auto" w:before="1"/>
        <w:ind w:left="1342" w:right="896" w:hanging="677"/>
        <w:jc w:val="both"/>
        <w:rPr>
          <w:sz w:val="22"/>
        </w:rPr>
      </w:pPr>
      <w:r>
        <w:rPr>
          <w:sz w:val="22"/>
        </w:rPr>
        <w:t>Campbell, M.G. (2009). Diesel exhaust fumes, an overview. </w:t>
      </w:r>
      <w:r>
        <w:rPr>
          <w:i/>
          <w:sz w:val="22"/>
        </w:rPr>
        <w:t>Carbon monoxide headquarters report</w:t>
      </w:r>
      <w:r>
        <w:rPr>
          <w:sz w:val="22"/>
        </w:rPr>
        <w:t>. 02 102009/1.</w:t>
      </w:r>
    </w:p>
    <w:p>
      <w:pPr>
        <w:pStyle w:val="BodyText"/>
        <w:spacing w:before="8"/>
      </w:pPr>
    </w:p>
    <w:p>
      <w:pPr>
        <w:pStyle w:val="BodyText"/>
        <w:spacing w:line="244" w:lineRule="auto"/>
        <w:ind w:left="1342" w:right="897" w:hanging="677"/>
        <w:jc w:val="both"/>
      </w:pPr>
      <w:r>
        <w:rPr/>
        <w:t>Cantrell, J.M. and Tucker, A. (1996). Low-dose carbon monoxide does not reduce vasoconstriction in isolated rat lungs. </w:t>
      </w:r>
      <w:r>
        <w:rPr>
          <w:i/>
        </w:rPr>
        <w:t>Experimental Lung Research, </w:t>
      </w:r>
      <w:r>
        <w:rPr/>
        <w:t>22: 21-32.</w:t>
      </w:r>
    </w:p>
    <w:p>
      <w:pPr>
        <w:pStyle w:val="BodyText"/>
        <w:spacing w:before="8"/>
      </w:pPr>
    </w:p>
    <w:p>
      <w:pPr>
        <w:spacing w:line="244" w:lineRule="auto" w:before="1"/>
        <w:ind w:left="1342" w:right="902" w:hanging="677"/>
        <w:jc w:val="both"/>
        <w:rPr>
          <w:sz w:val="22"/>
        </w:rPr>
      </w:pPr>
      <w:r>
        <w:rPr>
          <w:sz w:val="22"/>
        </w:rPr>
        <w:t>Cassina, A. and Radi, R. (1996). Differential inhibitory action of nitric oxide and peroxynitrate on mitochondrial electron transport. </w:t>
      </w:r>
      <w:r>
        <w:rPr>
          <w:i/>
          <w:sz w:val="22"/>
        </w:rPr>
        <w:t>Archives of Biochemistry and Biophysics</w:t>
      </w:r>
      <w:r>
        <w:rPr>
          <w:sz w:val="22"/>
        </w:rPr>
        <w:t>, 328: 309-316.</w:t>
      </w:r>
    </w:p>
    <w:p>
      <w:pPr>
        <w:pStyle w:val="BodyText"/>
        <w:spacing w:before="14"/>
      </w:pPr>
    </w:p>
    <w:p>
      <w:pPr>
        <w:pStyle w:val="BodyText"/>
        <w:spacing w:line="244" w:lineRule="auto"/>
        <w:ind w:left="1342" w:right="896" w:hanging="677"/>
        <w:jc w:val="both"/>
      </w:pPr>
      <w:r>
        <w:rPr/>
        <w:t>Centers</w:t>
      </w:r>
      <w:r>
        <w:rPr>
          <w:spacing w:val="40"/>
        </w:rPr>
        <w:t> </w:t>
      </w:r>
      <w:r>
        <w:rPr/>
        <w:t>for</w:t>
      </w:r>
      <w:r>
        <w:rPr>
          <w:spacing w:val="40"/>
        </w:rPr>
        <w:t> </w:t>
      </w:r>
      <w:r>
        <w:rPr/>
        <w:t>Disease</w:t>
      </w:r>
      <w:r>
        <w:rPr>
          <w:spacing w:val="40"/>
        </w:rPr>
        <w:t> </w:t>
      </w:r>
      <w:r>
        <w:rPr/>
        <w:t>Control</w:t>
      </w:r>
      <w:r>
        <w:rPr>
          <w:spacing w:val="40"/>
        </w:rPr>
        <w:t> </w:t>
      </w:r>
      <w:r>
        <w:rPr/>
        <w:t>and</w:t>
      </w:r>
      <w:r>
        <w:rPr>
          <w:spacing w:val="40"/>
        </w:rPr>
        <w:t> </w:t>
      </w:r>
      <w:r>
        <w:rPr/>
        <w:t>Prevention</w:t>
      </w:r>
      <w:r>
        <w:rPr>
          <w:spacing w:val="40"/>
        </w:rPr>
        <w:t> </w:t>
      </w:r>
      <w:r>
        <w:rPr/>
        <w:t>(CDC).</w:t>
      </w:r>
      <w:r>
        <w:rPr>
          <w:spacing w:val="40"/>
        </w:rPr>
        <w:t> </w:t>
      </w:r>
      <w:r>
        <w:rPr/>
        <w:t>(1996).</w:t>
      </w:r>
      <w:r>
        <w:rPr>
          <w:spacing w:val="40"/>
        </w:rPr>
        <w:t> </w:t>
      </w:r>
      <w:r>
        <w:rPr/>
        <w:t>Carbon</w:t>
      </w:r>
      <w:r>
        <w:rPr>
          <w:spacing w:val="40"/>
        </w:rPr>
        <w:t> </w:t>
      </w:r>
      <w:r>
        <w:rPr/>
        <w:t>monoxide poisonings</w:t>
      </w:r>
      <w:r>
        <w:rPr>
          <w:spacing w:val="40"/>
        </w:rPr>
        <w:t> </w:t>
      </w:r>
      <w:r>
        <w:rPr/>
        <w:t>associated</w:t>
      </w:r>
      <w:r>
        <w:rPr>
          <w:spacing w:val="40"/>
        </w:rPr>
        <w:t> </w:t>
      </w:r>
      <w:r>
        <w:rPr/>
        <w:t>with snow-obstructed vehicle</w:t>
      </w:r>
      <w:r>
        <w:rPr>
          <w:spacing w:val="40"/>
        </w:rPr>
        <w:t> </w:t>
      </w:r>
      <w:r>
        <w:rPr/>
        <w:t>exhaust</w:t>
      </w:r>
      <w:r>
        <w:rPr>
          <w:spacing w:val="40"/>
        </w:rPr>
        <w:t> </w:t>
      </w:r>
      <w:r>
        <w:rPr/>
        <w:t>systems- Philadelphia</w:t>
      </w:r>
      <w:r>
        <w:rPr>
          <w:spacing w:val="40"/>
        </w:rPr>
        <w:t> </w:t>
      </w:r>
      <w:r>
        <w:rPr/>
        <w:t>and</w:t>
      </w:r>
      <w:r>
        <w:rPr>
          <w:spacing w:val="40"/>
        </w:rPr>
        <w:t> </w:t>
      </w:r>
      <w:r>
        <w:rPr/>
        <w:t>New</w:t>
      </w:r>
      <w:r>
        <w:rPr>
          <w:spacing w:val="40"/>
        </w:rPr>
        <w:t> </w:t>
      </w:r>
      <w:r>
        <w:rPr/>
        <w:t>York</w:t>
      </w:r>
      <w:r>
        <w:rPr>
          <w:spacing w:val="40"/>
        </w:rPr>
        <w:t> </w:t>
      </w:r>
      <w:r>
        <w:rPr/>
        <w:t>City.</w:t>
      </w:r>
      <w:r>
        <w:rPr>
          <w:spacing w:val="40"/>
        </w:rPr>
        <w:t> </w:t>
      </w:r>
      <w:r>
        <w:rPr>
          <w:i/>
        </w:rPr>
        <w:t>Morbidity</w:t>
      </w:r>
      <w:r>
        <w:rPr>
          <w:i/>
          <w:spacing w:val="40"/>
        </w:rPr>
        <w:t> </w:t>
      </w:r>
      <w:r>
        <w:rPr>
          <w:i/>
        </w:rPr>
        <w:t>and</w:t>
      </w:r>
      <w:r>
        <w:rPr>
          <w:i/>
          <w:spacing w:val="40"/>
        </w:rPr>
        <w:t> </w:t>
      </w:r>
      <w:r>
        <w:rPr>
          <w:i/>
        </w:rPr>
        <w:t>Mortality</w:t>
      </w:r>
      <w:r>
        <w:rPr>
          <w:i/>
          <w:spacing w:val="40"/>
        </w:rPr>
        <w:t> </w:t>
      </w:r>
      <w:r>
        <w:rPr>
          <w:i/>
        </w:rPr>
        <w:t>Weekly</w:t>
      </w:r>
      <w:r>
        <w:rPr>
          <w:i/>
          <w:spacing w:val="40"/>
        </w:rPr>
        <w:t> </w:t>
      </w:r>
      <w:r>
        <w:rPr>
          <w:i/>
        </w:rPr>
        <w:t>Report</w:t>
      </w:r>
      <w:r>
        <w:rPr/>
        <w:t>, 45(1): 1-3.</w:t>
      </w:r>
    </w:p>
    <w:p>
      <w:pPr>
        <w:pStyle w:val="BodyText"/>
        <w:spacing w:before="6"/>
      </w:pPr>
    </w:p>
    <w:p>
      <w:pPr>
        <w:pStyle w:val="BodyText"/>
        <w:spacing w:line="244" w:lineRule="auto"/>
        <w:ind w:left="1342" w:right="901" w:hanging="677"/>
        <w:jc w:val="both"/>
      </w:pPr>
      <w:r>
        <w:rPr/>
        <w:t>Cable Network News (CNN). (2003). Isabel death toll creeps higher. fallen trees, drowning, carbon monoxide killed most victims. Available at: </w:t>
      </w:r>
      <w:hyperlink r:id="rId16">
        <w:r>
          <w:rPr>
            <w:color w:val="3333CC"/>
            <w:spacing w:val="-2"/>
            <w:u w:val="single" w:color="3333CC"/>
          </w:rPr>
          <w:t>www.cnn.com/2003/WEATHER/09/22/isabel/</w:t>
        </w:r>
        <w:r>
          <w:rPr>
            <w:spacing w:val="-2"/>
          </w:rPr>
          <w:t>.</w:t>
        </w:r>
      </w:hyperlink>
    </w:p>
    <w:p>
      <w:pPr>
        <w:pStyle w:val="BodyText"/>
        <w:spacing w:before="15"/>
      </w:pPr>
    </w:p>
    <w:p>
      <w:pPr>
        <w:pStyle w:val="BodyText"/>
        <w:spacing w:line="244" w:lineRule="auto"/>
        <w:ind w:left="1342" w:right="899" w:hanging="677"/>
        <w:jc w:val="both"/>
      </w:pPr>
      <w:r>
        <w:rPr/>
        <w:t>Carl-Johan, C., Hans, H. and Gunnar, H. (2012). Effect of Carbon Dioxide Inhalation on the Blood-Brain Barrier. </w:t>
      </w:r>
      <w:r>
        <w:rPr>
          <w:i/>
        </w:rPr>
        <w:t>Nature, </w:t>
      </w:r>
      <w:r>
        <w:rPr/>
        <w:t>178: 915.</w:t>
      </w:r>
    </w:p>
    <w:p>
      <w:pPr>
        <w:spacing w:line="244" w:lineRule="auto" w:before="2"/>
        <w:ind w:left="1342" w:right="895" w:hanging="677"/>
        <w:jc w:val="both"/>
        <w:rPr>
          <w:sz w:val="22"/>
        </w:rPr>
      </w:pPr>
      <w:r>
        <w:rPr>
          <w:sz w:val="22"/>
        </w:rPr>
        <w:t>Clayton, C.E., Carraway, M.S., Suliman, H.B., Thalmann, E.D., Schmechel, D.E. and Piantadosi, C.A. (2001). Inhaled carbon monoxide and hyperoxic lung injury in rats. </w:t>
      </w:r>
      <w:r>
        <w:rPr>
          <w:i/>
          <w:sz w:val="22"/>
        </w:rPr>
        <w:t>American Journal of Physiology Lung Cell Molecular Physiology</w:t>
      </w:r>
      <w:r>
        <w:rPr>
          <w:sz w:val="22"/>
        </w:rPr>
        <w:t>, 281(4): </w:t>
      </w:r>
      <w:r>
        <w:rPr>
          <w:spacing w:val="-2"/>
          <w:sz w:val="22"/>
        </w:rPr>
        <w:t>949-957.</w:t>
      </w:r>
    </w:p>
    <w:p>
      <w:pPr>
        <w:pStyle w:val="BodyText"/>
        <w:spacing w:before="11"/>
      </w:pPr>
    </w:p>
    <w:p>
      <w:pPr>
        <w:pStyle w:val="BodyText"/>
        <w:spacing w:line="244" w:lineRule="auto"/>
        <w:ind w:left="1342" w:right="895" w:hanging="677"/>
        <w:jc w:val="both"/>
      </w:pPr>
      <w:r>
        <w:rPr/>
        <w:t>Coburn, R.F. (1965). Considerations of the physiological variables that determine the blood Carboxy-hemoglobin concentration in man. </w:t>
      </w:r>
      <w:r>
        <w:rPr>
          <w:i/>
        </w:rPr>
        <w:t>Journal of clinical</w:t>
      </w:r>
      <w:r>
        <w:rPr>
          <w:i/>
          <w:spacing w:val="40"/>
        </w:rPr>
        <w:t> </w:t>
      </w:r>
      <w:r>
        <w:rPr>
          <w:i/>
        </w:rPr>
        <w:t>investigation</w:t>
      </w:r>
      <w:r>
        <w:rPr/>
        <w:t>, 44: 1899–1910.</w:t>
      </w:r>
    </w:p>
    <w:p>
      <w:pPr>
        <w:spacing w:after="0" w:line="244" w:lineRule="auto"/>
        <w:jc w:val="both"/>
        <w:sectPr>
          <w:pgSz w:w="12240" w:h="15840"/>
          <w:pgMar w:header="0" w:footer="916" w:top="1260" w:bottom="1100" w:left="1720" w:right="960"/>
        </w:sectPr>
      </w:pPr>
    </w:p>
    <w:p>
      <w:pPr>
        <w:pStyle w:val="BodyText"/>
        <w:spacing w:before="74"/>
        <w:ind w:left="665"/>
      </w:pPr>
      <w:r>
        <w:rPr/>
        <w:t>Choi,</w:t>
      </w:r>
      <w:r>
        <w:rPr>
          <w:spacing w:val="66"/>
          <w:w w:val="150"/>
        </w:rPr>
        <w:t> </w:t>
      </w:r>
      <w:r>
        <w:rPr/>
        <w:t>I.S.</w:t>
      </w:r>
      <w:r>
        <w:rPr>
          <w:spacing w:val="67"/>
          <w:w w:val="150"/>
        </w:rPr>
        <w:t> </w:t>
      </w:r>
      <w:r>
        <w:rPr/>
        <w:t>(2000).</w:t>
      </w:r>
      <w:r>
        <w:rPr>
          <w:spacing w:val="61"/>
          <w:w w:val="150"/>
        </w:rPr>
        <w:t> </w:t>
      </w:r>
      <w:r>
        <w:rPr/>
        <w:t>Delayed</w:t>
      </w:r>
      <w:r>
        <w:rPr>
          <w:spacing w:val="68"/>
          <w:w w:val="150"/>
        </w:rPr>
        <w:t> </w:t>
      </w:r>
      <w:r>
        <w:rPr/>
        <w:t>neurologic</w:t>
      </w:r>
      <w:r>
        <w:rPr>
          <w:spacing w:val="60"/>
          <w:w w:val="150"/>
        </w:rPr>
        <w:t> </w:t>
      </w:r>
      <w:r>
        <w:rPr/>
        <w:t>sequelae</w:t>
      </w:r>
      <w:r>
        <w:rPr>
          <w:spacing w:val="61"/>
          <w:w w:val="150"/>
        </w:rPr>
        <w:t> </w:t>
      </w:r>
      <w:r>
        <w:rPr/>
        <w:t>in</w:t>
      </w:r>
      <w:r>
        <w:rPr>
          <w:spacing w:val="58"/>
          <w:w w:val="150"/>
        </w:rPr>
        <w:t> </w:t>
      </w:r>
      <w:r>
        <w:rPr/>
        <w:t>carbon</w:t>
      </w:r>
      <w:r>
        <w:rPr>
          <w:spacing w:val="58"/>
          <w:w w:val="150"/>
        </w:rPr>
        <w:t> </w:t>
      </w:r>
      <w:r>
        <w:rPr/>
        <w:t>monoxide</w:t>
      </w:r>
      <w:r>
        <w:rPr>
          <w:spacing w:val="60"/>
          <w:w w:val="150"/>
        </w:rPr>
        <w:t> </w:t>
      </w:r>
      <w:r>
        <w:rPr>
          <w:spacing w:val="-2"/>
        </w:rPr>
        <w:t>intoxication.</w:t>
      </w:r>
    </w:p>
    <w:p>
      <w:pPr>
        <w:spacing w:before="7"/>
        <w:ind w:left="1342" w:right="0" w:firstLine="0"/>
        <w:jc w:val="left"/>
        <w:rPr>
          <w:sz w:val="22"/>
        </w:rPr>
      </w:pPr>
      <w:r>
        <w:rPr>
          <w:i/>
          <w:sz w:val="22"/>
        </w:rPr>
        <w:t>Archives</w:t>
      </w:r>
      <w:r>
        <w:rPr>
          <w:i/>
          <w:spacing w:val="8"/>
          <w:sz w:val="22"/>
        </w:rPr>
        <w:t> </w:t>
      </w:r>
      <w:r>
        <w:rPr>
          <w:i/>
          <w:sz w:val="22"/>
        </w:rPr>
        <w:t>of</w:t>
      </w:r>
      <w:r>
        <w:rPr>
          <w:i/>
          <w:spacing w:val="21"/>
          <w:sz w:val="22"/>
        </w:rPr>
        <w:t> </w:t>
      </w:r>
      <w:r>
        <w:rPr>
          <w:i/>
          <w:sz w:val="22"/>
        </w:rPr>
        <w:t>Neurology,</w:t>
      </w:r>
      <w:r>
        <w:rPr>
          <w:i/>
          <w:spacing w:val="18"/>
          <w:sz w:val="22"/>
        </w:rPr>
        <w:t> </w:t>
      </w:r>
      <w:r>
        <w:rPr>
          <w:sz w:val="22"/>
        </w:rPr>
        <w:t>40:</w:t>
      </w:r>
      <w:r>
        <w:rPr>
          <w:spacing w:val="5"/>
          <w:sz w:val="22"/>
        </w:rPr>
        <w:t> </w:t>
      </w:r>
      <w:r>
        <w:rPr>
          <w:sz w:val="22"/>
        </w:rPr>
        <w:t>433-</w:t>
      </w:r>
      <w:r>
        <w:rPr>
          <w:spacing w:val="-5"/>
          <w:sz w:val="22"/>
        </w:rPr>
        <w:t>5.</w:t>
      </w:r>
    </w:p>
    <w:p>
      <w:pPr>
        <w:pStyle w:val="BodyText"/>
        <w:spacing w:before="12"/>
      </w:pPr>
    </w:p>
    <w:p>
      <w:pPr>
        <w:spacing w:line="244" w:lineRule="auto" w:before="0"/>
        <w:ind w:left="1342" w:right="896" w:hanging="677"/>
        <w:jc w:val="left"/>
        <w:rPr>
          <w:sz w:val="22"/>
        </w:rPr>
      </w:pPr>
      <w:r>
        <w:rPr>
          <w:sz w:val="22"/>
        </w:rPr>
        <w:t>Dasgupta,</w:t>
      </w:r>
      <w:r>
        <w:rPr>
          <w:spacing w:val="80"/>
          <w:sz w:val="22"/>
        </w:rPr>
        <w:t> </w:t>
      </w:r>
      <w:r>
        <w:rPr>
          <w:sz w:val="22"/>
        </w:rPr>
        <w:t>S.</w:t>
      </w:r>
      <w:r>
        <w:rPr>
          <w:spacing w:val="80"/>
          <w:sz w:val="22"/>
        </w:rPr>
        <w:t> </w:t>
      </w:r>
      <w:r>
        <w:rPr>
          <w:sz w:val="22"/>
        </w:rPr>
        <w:t>(2001).</w:t>
      </w:r>
      <w:r>
        <w:rPr>
          <w:spacing w:val="80"/>
          <w:sz w:val="22"/>
        </w:rPr>
        <w:t> </w:t>
      </w:r>
      <w:r>
        <w:rPr>
          <w:sz w:val="22"/>
        </w:rPr>
        <w:t>Environmental</w:t>
      </w:r>
      <w:r>
        <w:rPr>
          <w:spacing w:val="80"/>
          <w:sz w:val="22"/>
        </w:rPr>
        <w:t> </w:t>
      </w:r>
      <w:r>
        <w:rPr>
          <w:sz w:val="22"/>
        </w:rPr>
        <w:t>regulation</w:t>
      </w:r>
      <w:r>
        <w:rPr>
          <w:spacing w:val="80"/>
          <w:sz w:val="22"/>
        </w:rPr>
        <w:t> </w:t>
      </w:r>
      <w:r>
        <w:rPr>
          <w:sz w:val="22"/>
        </w:rPr>
        <w:t>and</w:t>
      </w:r>
      <w:r>
        <w:rPr>
          <w:spacing w:val="80"/>
          <w:sz w:val="22"/>
        </w:rPr>
        <w:t> </w:t>
      </w:r>
      <w:r>
        <w:rPr>
          <w:sz w:val="22"/>
        </w:rPr>
        <w:t>development:</w:t>
      </w:r>
      <w:r>
        <w:rPr>
          <w:spacing w:val="80"/>
          <w:sz w:val="22"/>
        </w:rPr>
        <w:t> </w:t>
      </w:r>
      <w:r>
        <w:rPr>
          <w:sz w:val="22"/>
        </w:rPr>
        <w:t>A</w:t>
      </w:r>
      <w:r>
        <w:rPr>
          <w:spacing w:val="80"/>
          <w:sz w:val="22"/>
        </w:rPr>
        <w:t> </w:t>
      </w:r>
      <w:r>
        <w:rPr>
          <w:sz w:val="22"/>
        </w:rPr>
        <w:t>cross-country empirical analysis. </w:t>
      </w:r>
      <w:r>
        <w:rPr>
          <w:i/>
          <w:sz w:val="22"/>
        </w:rPr>
        <w:t>Oxford Development Studies, </w:t>
      </w:r>
      <w:r>
        <w:rPr>
          <w:sz w:val="22"/>
        </w:rPr>
        <w:t>29(2).</w:t>
      </w:r>
    </w:p>
    <w:p>
      <w:pPr>
        <w:pStyle w:val="BodyText"/>
        <w:spacing w:before="8"/>
      </w:pPr>
    </w:p>
    <w:p>
      <w:pPr>
        <w:spacing w:line="249" w:lineRule="auto" w:before="1"/>
        <w:ind w:left="1342" w:right="1219" w:hanging="677"/>
        <w:jc w:val="left"/>
        <w:rPr>
          <w:sz w:val="22"/>
        </w:rPr>
      </w:pPr>
      <w:r>
        <w:rPr>
          <w:sz w:val="22"/>
        </w:rPr>
        <w:t>Dosunmu, O. (1998). Emission Inventory for Lagos City, 1980 – 2010. </w:t>
      </w:r>
      <w:r>
        <w:rPr>
          <w:i/>
          <w:sz w:val="22"/>
        </w:rPr>
        <w:t>Journal of the Nigerian Society of Chemical Engineers</w:t>
      </w:r>
      <w:r>
        <w:rPr>
          <w:sz w:val="22"/>
        </w:rPr>
        <w:t>, 17 (1&amp;2): 95-102.</w:t>
      </w:r>
    </w:p>
    <w:p>
      <w:pPr>
        <w:pStyle w:val="BodyText"/>
        <w:spacing w:before="7"/>
      </w:pPr>
    </w:p>
    <w:p>
      <w:pPr>
        <w:pStyle w:val="BodyText"/>
        <w:spacing w:line="244" w:lineRule="auto" w:before="1"/>
        <w:ind w:left="1342" w:right="902" w:hanging="677"/>
        <w:jc w:val="both"/>
      </w:pPr>
      <w:r>
        <w:rPr/>
        <w:t>Dobler, D.D., Santiago, T.V. and Edelman, N.H. (1977). Correlation between ventilator and Cerebrovascular responses to inhalation of CO. </w:t>
      </w:r>
      <w:r>
        <w:rPr>
          <w:i/>
        </w:rPr>
        <w:t>Journal of Applied</w:t>
      </w:r>
      <w:r>
        <w:rPr>
          <w:i/>
          <w:spacing w:val="40"/>
        </w:rPr>
        <w:t> </w:t>
      </w:r>
      <w:r>
        <w:rPr>
          <w:i/>
        </w:rPr>
        <w:t>Physiology</w:t>
      </w:r>
      <w:r>
        <w:rPr/>
        <w:t>, 43: 455-62.</w:t>
      </w:r>
    </w:p>
    <w:p>
      <w:pPr>
        <w:pStyle w:val="BodyText"/>
        <w:spacing w:before="9"/>
      </w:pPr>
    </w:p>
    <w:p>
      <w:pPr>
        <w:spacing w:line="249" w:lineRule="auto" w:before="0"/>
        <w:ind w:left="1342" w:right="895" w:hanging="677"/>
        <w:jc w:val="both"/>
        <w:rPr>
          <w:sz w:val="22"/>
        </w:rPr>
      </w:pPr>
      <w:r>
        <w:rPr>
          <w:sz w:val="22"/>
        </w:rPr>
        <w:t>Ernst, A. and Zibrak, J.D. (2004). Carbon monoxide poisoning. </w:t>
      </w:r>
      <w:r>
        <w:rPr>
          <w:i/>
          <w:sz w:val="22"/>
        </w:rPr>
        <w:t>New England Journal of Medicine</w:t>
      </w:r>
      <w:r>
        <w:rPr>
          <w:sz w:val="22"/>
        </w:rPr>
        <w:t>, 339: 1603-8.</w:t>
      </w:r>
    </w:p>
    <w:p>
      <w:pPr>
        <w:pStyle w:val="BodyText"/>
        <w:spacing w:before="3"/>
      </w:pPr>
    </w:p>
    <w:p>
      <w:pPr>
        <w:pStyle w:val="BodyText"/>
        <w:ind w:left="665"/>
      </w:pPr>
      <w:r>
        <w:rPr/>
        <w:t>Ernest,</w:t>
      </w:r>
      <w:r>
        <w:rPr>
          <w:spacing w:val="61"/>
        </w:rPr>
        <w:t> </w:t>
      </w:r>
      <w:r>
        <w:rPr/>
        <w:t>B.</w:t>
      </w:r>
      <w:r>
        <w:rPr>
          <w:spacing w:val="67"/>
        </w:rPr>
        <w:t> </w:t>
      </w:r>
      <w:r>
        <w:rPr/>
        <w:t>and</w:t>
      </w:r>
      <w:r>
        <w:rPr>
          <w:spacing w:val="67"/>
        </w:rPr>
        <w:t> </w:t>
      </w:r>
      <w:r>
        <w:rPr/>
        <w:t>Carol,</w:t>
      </w:r>
      <w:r>
        <w:rPr>
          <w:spacing w:val="62"/>
        </w:rPr>
        <w:t> </w:t>
      </w:r>
      <w:r>
        <w:rPr/>
        <w:t>W.</w:t>
      </w:r>
      <w:r>
        <w:rPr>
          <w:spacing w:val="61"/>
        </w:rPr>
        <w:t> </w:t>
      </w:r>
      <w:r>
        <w:rPr/>
        <w:t>(1984).</w:t>
      </w:r>
      <w:r>
        <w:rPr>
          <w:spacing w:val="69"/>
        </w:rPr>
        <w:t> </w:t>
      </w:r>
      <w:r>
        <w:rPr/>
        <w:t>Simplified</w:t>
      </w:r>
      <w:r>
        <w:rPr>
          <w:spacing w:val="68"/>
        </w:rPr>
        <w:t> </w:t>
      </w:r>
      <w:r>
        <w:rPr/>
        <w:t>Determination</w:t>
      </w:r>
      <w:r>
        <w:rPr>
          <w:spacing w:val="58"/>
        </w:rPr>
        <w:t> </w:t>
      </w:r>
      <w:r>
        <w:rPr/>
        <w:t>of</w:t>
      </w:r>
      <w:r>
        <w:rPr>
          <w:spacing w:val="57"/>
        </w:rPr>
        <w:t> </w:t>
      </w:r>
      <w:r>
        <w:rPr>
          <w:spacing w:val="-2"/>
        </w:rPr>
        <w:t>Carboxyhemoglobin.</w:t>
      </w:r>
    </w:p>
    <w:p>
      <w:pPr>
        <w:spacing w:before="2"/>
        <w:ind w:left="1342" w:right="0" w:firstLine="0"/>
        <w:jc w:val="left"/>
        <w:rPr>
          <w:sz w:val="22"/>
        </w:rPr>
      </w:pPr>
      <w:r>
        <w:rPr>
          <w:i/>
          <w:sz w:val="22"/>
        </w:rPr>
        <w:t>Clinical</w:t>
      </w:r>
      <w:r>
        <w:rPr>
          <w:i/>
          <w:spacing w:val="17"/>
          <w:sz w:val="22"/>
        </w:rPr>
        <w:t> </w:t>
      </w:r>
      <w:r>
        <w:rPr>
          <w:i/>
          <w:sz w:val="22"/>
        </w:rPr>
        <w:t>Chemistry,</w:t>
      </w:r>
      <w:r>
        <w:rPr>
          <w:i/>
          <w:spacing w:val="14"/>
          <w:sz w:val="22"/>
        </w:rPr>
        <w:t> </w:t>
      </w:r>
      <w:r>
        <w:rPr>
          <w:sz w:val="22"/>
        </w:rPr>
        <w:t>30(6):</w:t>
      </w:r>
      <w:r>
        <w:rPr>
          <w:spacing w:val="12"/>
          <w:sz w:val="22"/>
        </w:rPr>
        <w:t> </w:t>
      </w:r>
      <w:r>
        <w:rPr>
          <w:sz w:val="22"/>
        </w:rPr>
        <w:t>871-</w:t>
      </w:r>
      <w:r>
        <w:rPr>
          <w:spacing w:val="-4"/>
          <w:sz w:val="22"/>
        </w:rPr>
        <w:t>874.</w:t>
      </w:r>
    </w:p>
    <w:p>
      <w:pPr>
        <w:pStyle w:val="BodyText"/>
        <w:spacing w:before="12"/>
      </w:pPr>
    </w:p>
    <w:p>
      <w:pPr>
        <w:spacing w:line="247" w:lineRule="auto" w:before="0"/>
        <w:ind w:left="1342" w:right="897" w:hanging="677"/>
        <w:jc w:val="both"/>
        <w:rPr>
          <w:sz w:val="22"/>
        </w:rPr>
      </w:pPr>
      <w:r>
        <w:rPr>
          <w:sz w:val="22"/>
        </w:rPr>
        <w:t>Enemari, E. (2001). Vehicular emissions: environmental and</w:t>
      </w:r>
      <w:r>
        <w:rPr>
          <w:spacing w:val="40"/>
          <w:sz w:val="22"/>
        </w:rPr>
        <w:t> </w:t>
      </w:r>
      <w:r>
        <w:rPr>
          <w:sz w:val="22"/>
        </w:rPr>
        <w:t>health implications.</w:t>
      </w:r>
      <w:r>
        <w:rPr>
          <w:spacing w:val="40"/>
          <w:sz w:val="22"/>
        </w:rPr>
        <w:t> </w:t>
      </w:r>
      <w:r>
        <w:rPr>
          <w:i/>
          <w:sz w:val="22"/>
        </w:rPr>
        <w:t>National</w:t>
      </w:r>
      <w:r>
        <w:rPr>
          <w:i/>
          <w:spacing w:val="35"/>
          <w:sz w:val="22"/>
        </w:rPr>
        <w:t> </w:t>
      </w:r>
      <w:r>
        <w:rPr>
          <w:i/>
          <w:sz w:val="22"/>
        </w:rPr>
        <w:t>Conference on</w:t>
      </w:r>
      <w:r>
        <w:rPr>
          <w:i/>
          <w:spacing w:val="39"/>
          <w:sz w:val="22"/>
        </w:rPr>
        <w:t> </w:t>
      </w:r>
      <w:r>
        <w:rPr>
          <w:i/>
          <w:sz w:val="22"/>
        </w:rPr>
        <w:t>the Phase-out of Leaded Gasoline in</w:t>
      </w:r>
      <w:r>
        <w:rPr>
          <w:i/>
          <w:spacing w:val="33"/>
          <w:sz w:val="22"/>
        </w:rPr>
        <w:t> </w:t>
      </w:r>
      <w:r>
        <w:rPr>
          <w:i/>
          <w:sz w:val="22"/>
        </w:rPr>
        <w:t>Nigeria</w:t>
      </w:r>
      <w:r>
        <w:rPr>
          <w:sz w:val="22"/>
        </w:rPr>
        <w:t>, 14: 585- </w:t>
      </w:r>
      <w:r>
        <w:rPr>
          <w:spacing w:val="-4"/>
          <w:sz w:val="22"/>
        </w:rPr>
        <w:t>89.</w:t>
      </w:r>
    </w:p>
    <w:p>
      <w:pPr>
        <w:pStyle w:val="BodyText"/>
        <w:spacing w:before="7"/>
      </w:pPr>
    </w:p>
    <w:p>
      <w:pPr>
        <w:pStyle w:val="BodyText"/>
        <w:ind w:left="1342" w:right="909" w:hanging="677"/>
        <w:jc w:val="both"/>
      </w:pPr>
      <w:r>
        <w:rPr/>
        <w:t>Fidan,</w:t>
      </w:r>
      <w:r>
        <w:rPr>
          <w:spacing w:val="40"/>
        </w:rPr>
        <w:t> </w:t>
      </w:r>
      <w:r>
        <w:rPr/>
        <w:t>F.</w:t>
      </w:r>
      <w:r>
        <w:rPr>
          <w:spacing w:val="40"/>
        </w:rPr>
        <w:t> </w:t>
      </w:r>
      <w:r>
        <w:rPr/>
        <w:t>and</w:t>
      </w:r>
      <w:r>
        <w:rPr>
          <w:spacing w:val="40"/>
        </w:rPr>
        <w:t> </w:t>
      </w:r>
      <w:r>
        <w:rPr/>
        <w:t>Arif,</w:t>
      </w:r>
      <w:r>
        <w:rPr>
          <w:spacing w:val="40"/>
        </w:rPr>
        <w:t> </w:t>
      </w:r>
      <w:r>
        <w:rPr/>
        <w:t>C.</w:t>
      </w:r>
      <w:r>
        <w:rPr>
          <w:spacing w:val="40"/>
        </w:rPr>
        <w:t> </w:t>
      </w:r>
      <w:r>
        <w:rPr/>
        <w:t>(2007).</w:t>
      </w:r>
      <w:r>
        <w:rPr>
          <w:spacing w:val="40"/>
        </w:rPr>
        <w:t> </w:t>
      </w:r>
      <w:r>
        <w:rPr/>
        <w:t>Tobacco</w:t>
      </w:r>
      <w:r>
        <w:rPr>
          <w:spacing w:val="40"/>
        </w:rPr>
        <w:t> </w:t>
      </w:r>
      <w:r>
        <w:rPr/>
        <w:t>smoke</w:t>
      </w:r>
      <w:r>
        <w:rPr>
          <w:spacing w:val="40"/>
        </w:rPr>
        <w:t> </w:t>
      </w:r>
      <w:r>
        <w:rPr/>
        <w:t>exposure</w:t>
      </w:r>
      <w:r>
        <w:rPr>
          <w:spacing w:val="40"/>
        </w:rPr>
        <w:t> </w:t>
      </w:r>
      <w:r>
        <w:rPr/>
        <w:t>in</w:t>
      </w:r>
      <w:r>
        <w:rPr>
          <w:spacing w:val="40"/>
        </w:rPr>
        <w:t> </w:t>
      </w:r>
      <w:r>
        <w:rPr/>
        <w:t>coffee</w:t>
      </w:r>
      <w:r>
        <w:rPr>
          <w:spacing w:val="40"/>
        </w:rPr>
        <w:t> </w:t>
      </w:r>
      <w:r>
        <w:rPr/>
        <w:t>house</w:t>
      </w:r>
      <w:r>
        <w:rPr>
          <w:spacing w:val="40"/>
        </w:rPr>
        <w:t> </w:t>
      </w:r>
      <w:r>
        <w:rPr/>
        <w:t>can</w:t>
      </w:r>
      <w:r>
        <w:rPr>
          <w:spacing w:val="40"/>
        </w:rPr>
        <w:t> </w:t>
      </w:r>
      <w:r>
        <w:rPr/>
        <w:t>be</w:t>
      </w:r>
      <w:r>
        <w:rPr>
          <w:spacing w:val="40"/>
        </w:rPr>
        <w:t> </w:t>
      </w:r>
      <w:r>
        <w:rPr/>
        <w:t>a potential threat for public health. </w:t>
      </w:r>
      <w:r>
        <w:rPr>
          <w:i/>
        </w:rPr>
        <w:t>Turkish Respiratory Journal, </w:t>
      </w:r>
      <w:r>
        <w:rPr/>
        <w:t>8(3): 81-84.</w:t>
      </w:r>
    </w:p>
    <w:p>
      <w:pPr>
        <w:pStyle w:val="BodyText"/>
        <w:spacing w:before="14"/>
      </w:pPr>
    </w:p>
    <w:p>
      <w:pPr>
        <w:pStyle w:val="BodyText"/>
        <w:spacing w:line="249" w:lineRule="auto"/>
        <w:ind w:left="1342" w:right="897" w:hanging="677"/>
        <w:jc w:val="both"/>
      </w:pPr>
      <w:r>
        <w:rPr/>
        <w:t>Fein, A., Grossman, R.F., Jones, J.G., Hoeffel, J. and McKay, D. (1980). Carbon monoxide effect on alveolar epithelial permeability. </w:t>
      </w:r>
      <w:r>
        <w:rPr>
          <w:i/>
        </w:rPr>
        <w:t>Chest, </w:t>
      </w:r>
      <w:r>
        <w:rPr/>
        <w:t>78: 726-731.</w:t>
      </w:r>
    </w:p>
    <w:p>
      <w:pPr>
        <w:pStyle w:val="BodyText"/>
        <w:spacing w:before="3"/>
      </w:pPr>
    </w:p>
    <w:p>
      <w:pPr>
        <w:pStyle w:val="BodyText"/>
        <w:spacing w:line="244" w:lineRule="auto"/>
        <w:ind w:left="1342" w:right="897" w:hanging="677"/>
        <w:jc w:val="both"/>
      </w:pPr>
      <w:r>
        <w:rPr>
          <w:color w:val="3333CC"/>
          <w:u w:val="single" w:color="3333CC"/>
        </w:rPr>
        <w:t>Fechter</w:t>
      </w:r>
      <w:r>
        <w:rPr/>
        <w:t>, L.D., </w:t>
      </w:r>
      <w:r>
        <w:rPr>
          <w:color w:val="3333CC"/>
          <w:u w:val="single" w:color="3333CC"/>
        </w:rPr>
        <w:t>Chen</w:t>
      </w:r>
      <w:r>
        <w:rPr/>
        <w:t>, G. and </w:t>
      </w:r>
      <w:r>
        <w:rPr>
          <w:color w:val="3333CC"/>
          <w:u w:val="single" w:color="3333CC"/>
        </w:rPr>
        <w:t>Rao</w:t>
      </w:r>
      <w:r>
        <w:rPr/>
        <w:t>, D. (2000). Characterising conditions that favour potentiation of noise induced hearing loss by chemical asphyxiants. </w:t>
      </w:r>
      <w:r>
        <w:rPr>
          <w:i/>
        </w:rPr>
        <w:t>Noise and Health</w:t>
      </w:r>
      <w:r>
        <w:rPr/>
        <w:t>, 3(9): 11-21.</w:t>
      </w:r>
    </w:p>
    <w:p>
      <w:pPr>
        <w:pStyle w:val="BodyText"/>
        <w:spacing w:before="10"/>
      </w:pPr>
    </w:p>
    <w:p>
      <w:pPr>
        <w:pStyle w:val="BodyText"/>
        <w:spacing w:line="266" w:lineRule="auto"/>
        <w:ind w:left="1342" w:right="894" w:hanging="677"/>
        <w:jc w:val="both"/>
      </w:pPr>
      <w:r>
        <w:rPr/>
        <w:t>Friis, M.L.,</w:t>
      </w:r>
      <w:r>
        <w:rPr>
          <w:spacing w:val="40"/>
        </w:rPr>
        <w:t> </w:t>
      </w:r>
      <w:r>
        <w:rPr/>
        <w:t>Paulson,</w:t>
      </w:r>
      <w:r>
        <w:rPr>
          <w:spacing w:val="40"/>
        </w:rPr>
        <w:t> </w:t>
      </w:r>
      <w:r>
        <w:rPr/>
        <w:t>O.B.</w:t>
      </w:r>
      <w:r>
        <w:rPr>
          <w:spacing w:val="40"/>
        </w:rPr>
        <w:t> </w:t>
      </w:r>
      <w:r>
        <w:rPr/>
        <w:t>and</w:t>
      </w:r>
      <w:r>
        <w:rPr>
          <w:spacing w:val="40"/>
        </w:rPr>
        <w:t> </w:t>
      </w:r>
      <w:r>
        <w:rPr/>
        <w:t>Hertz,</w:t>
      </w:r>
      <w:r>
        <w:rPr>
          <w:spacing w:val="40"/>
        </w:rPr>
        <w:t> </w:t>
      </w:r>
      <w:r>
        <w:rPr/>
        <w:t>M.M.</w:t>
      </w:r>
      <w:r>
        <w:rPr>
          <w:spacing w:val="40"/>
        </w:rPr>
        <w:t> </w:t>
      </w:r>
      <w:r>
        <w:rPr/>
        <w:t>(1980).</w:t>
      </w:r>
      <w:r>
        <w:rPr>
          <w:spacing w:val="40"/>
        </w:rPr>
        <w:t> </w:t>
      </w:r>
      <w:r>
        <w:rPr/>
        <w:t>Carbon dioxide</w:t>
      </w:r>
      <w:r>
        <w:rPr>
          <w:spacing w:val="40"/>
        </w:rPr>
        <w:t> </w:t>
      </w:r>
      <w:r>
        <w:rPr/>
        <w:t>permeability</w:t>
      </w:r>
      <w:r>
        <w:rPr>
          <w:spacing w:val="40"/>
        </w:rPr>
        <w:t> </w:t>
      </w:r>
      <w:r>
        <w:rPr/>
        <w:t>of</w:t>
      </w:r>
      <w:r>
        <w:rPr>
          <w:spacing w:val="40"/>
        </w:rPr>
        <w:t> </w:t>
      </w:r>
      <w:r>
        <w:rPr/>
        <w:t>the blood-brainbarrier in man; The effect of acetazolamide. </w:t>
      </w:r>
      <w:r>
        <w:rPr>
          <w:i/>
        </w:rPr>
        <w:t>Microvascular Reseach</w:t>
      </w:r>
      <w:r>
        <w:rPr/>
        <w:t>, 20(1): 71</w:t>
      </w:r>
      <w:r>
        <w:rPr>
          <w:rFonts w:ascii="Lucida Sans Unicode" w:hAnsi="Lucida Sans Unicode"/>
        </w:rPr>
        <w:t>–</w:t>
      </w:r>
      <w:r>
        <w:rPr/>
        <w:t>80</w:t>
      </w:r>
    </w:p>
    <w:p>
      <w:pPr>
        <w:pStyle w:val="BodyText"/>
        <w:spacing w:before="29"/>
      </w:pPr>
    </w:p>
    <w:p>
      <w:pPr>
        <w:spacing w:line="244" w:lineRule="auto" w:before="0"/>
        <w:ind w:left="1342" w:right="901" w:hanging="677"/>
        <w:jc w:val="both"/>
        <w:rPr>
          <w:sz w:val="22"/>
        </w:rPr>
      </w:pPr>
      <w:r>
        <w:rPr>
          <w:sz w:val="22"/>
        </w:rPr>
        <w:t>Fu, L. (2001). Assessment of vehicle pollution in China. </w:t>
      </w:r>
      <w:r>
        <w:rPr>
          <w:i/>
          <w:sz w:val="22"/>
        </w:rPr>
        <w:t>Journal of the Air and Waste Management Association</w:t>
      </w:r>
      <w:r>
        <w:rPr>
          <w:sz w:val="22"/>
        </w:rPr>
        <w:t>, 51(5): 658-68.</w:t>
      </w:r>
    </w:p>
    <w:p>
      <w:pPr>
        <w:pStyle w:val="BodyText"/>
        <w:spacing w:before="9"/>
      </w:pPr>
    </w:p>
    <w:p>
      <w:pPr>
        <w:pStyle w:val="BodyText"/>
        <w:spacing w:line="244" w:lineRule="auto"/>
        <w:ind w:left="1342" w:right="896" w:hanging="677"/>
        <w:jc w:val="both"/>
      </w:pPr>
      <w:r>
        <w:rPr/>
        <w:t>Gibson, Q.H., Olson, J.S., McKinnie, R.E. and Rohlfs, R.J. (1986) A kinetic description</w:t>
      </w:r>
      <w:r>
        <w:rPr>
          <w:spacing w:val="80"/>
        </w:rPr>
        <w:t> </w:t>
      </w:r>
      <w:r>
        <w:rPr/>
        <w:t>of ligand binding to sperm whale myoglobin. </w:t>
      </w:r>
      <w:r>
        <w:rPr>
          <w:i/>
        </w:rPr>
        <w:t>Journal of Biology and Chemistry. </w:t>
      </w:r>
      <w:r>
        <w:rPr/>
        <w:t>261: 10,228-10,236.</w:t>
      </w:r>
    </w:p>
    <w:p>
      <w:pPr>
        <w:pStyle w:val="BodyText"/>
        <w:spacing w:before="9"/>
      </w:pPr>
    </w:p>
    <w:p>
      <w:pPr>
        <w:pStyle w:val="BodyText"/>
        <w:spacing w:line="244" w:lineRule="auto" w:before="1"/>
        <w:ind w:left="1342" w:right="895" w:hanging="677"/>
        <w:jc w:val="both"/>
      </w:pPr>
      <w:r>
        <w:rPr/>
        <w:t>Ginsberg,</w:t>
      </w:r>
      <w:r>
        <w:rPr>
          <w:spacing w:val="40"/>
        </w:rPr>
        <w:t> </w:t>
      </w:r>
      <w:r>
        <w:rPr/>
        <w:t>M.D.</w:t>
      </w:r>
      <w:r>
        <w:rPr>
          <w:spacing w:val="40"/>
        </w:rPr>
        <w:t> </w:t>
      </w:r>
      <w:r>
        <w:rPr/>
        <w:t>and</w:t>
      </w:r>
      <w:r>
        <w:rPr>
          <w:spacing w:val="40"/>
        </w:rPr>
        <w:t> </w:t>
      </w:r>
      <w:r>
        <w:rPr/>
        <w:t>Myers,</w:t>
      </w:r>
      <w:r>
        <w:rPr>
          <w:spacing w:val="40"/>
        </w:rPr>
        <w:t> </w:t>
      </w:r>
      <w:r>
        <w:rPr/>
        <w:t>R.E.</w:t>
      </w:r>
      <w:r>
        <w:rPr>
          <w:spacing w:val="40"/>
        </w:rPr>
        <w:t> </w:t>
      </w:r>
      <w:r>
        <w:rPr/>
        <w:t>(1974).</w:t>
      </w:r>
      <w:r>
        <w:rPr>
          <w:spacing w:val="40"/>
        </w:rPr>
        <w:t> </w:t>
      </w:r>
      <w:r>
        <w:rPr/>
        <w:t>Experimental</w:t>
      </w:r>
      <w:r>
        <w:rPr>
          <w:spacing w:val="40"/>
        </w:rPr>
        <w:t> </w:t>
      </w:r>
      <w:r>
        <w:rPr/>
        <w:t>carbon</w:t>
      </w:r>
      <w:r>
        <w:rPr>
          <w:spacing w:val="40"/>
        </w:rPr>
        <w:t> </w:t>
      </w:r>
      <w:r>
        <w:rPr/>
        <w:t>monoxide encephalopathy in the primate I. Physiologic and metabolic aspects. </w:t>
      </w:r>
      <w:r>
        <w:rPr>
          <w:i/>
        </w:rPr>
        <w:t>Archives of Neurology, </w:t>
      </w:r>
      <w:r>
        <w:rPr/>
        <w:t>30: 202-208.</w:t>
      </w:r>
    </w:p>
    <w:p>
      <w:pPr>
        <w:spacing w:after="0" w:line="244" w:lineRule="auto"/>
        <w:jc w:val="both"/>
        <w:sectPr>
          <w:pgSz w:w="12240" w:h="15840"/>
          <w:pgMar w:header="0" w:footer="916" w:top="1520" w:bottom="1100" w:left="1720" w:right="960"/>
        </w:sectPr>
      </w:pPr>
    </w:p>
    <w:p>
      <w:pPr>
        <w:pStyle w:val="BodyText"/>
        <w:spacing w:line="244" w:lineRule="auto" w:before="75"/>
        <w:ind w:left="1342" w:right="905" w:hanging="677"/>
        <w:jc w:val="both"/>
      </w:pPr>
      <w:r>
        <w:rPr/>
        <w:t>Gorman, D.F., Clayton, D. and Gilligan, J.E. (1992). A longitudinal study of 100 consecutive admissions for carbon monoxide poisoning to the Royal Adelaide Hospital. </w:t>
      </w:r>
      <w:r>
        <w:rPr>
          <w:i/>
        </w:rPr>
        <w:t>Anaesthesia and Intensive Care</w:t>
      </w:r>
      <w:r>
        <w:rPr/>
        <w:t>, 20: 311–16.</w:t>
      </w:r>
    </w:p>
    <w:p>
      <w:pPr>
        <w:pStyle w:val="BodyText"/>
        <w:spacing w:before="10"/>
      </w:pPr>
    </w:p>
    <w:p>
      <w:pPr>
        <w:pStyle w:val="BodyText"/>
        <w:spacing w:line="244" w:lineRule="auto"/>
        <w:ind w:left="1342" w:right="896" w:hanging="677"/>
        <w:jc w:val="both"/>
        <w:rPr>
          <w:i/>
        </w:rPr>
      </w:pPr>
      <w:r>
        <w:rPr>
          <w:color w:val="3333CC"/>
          <w:u w:val="single" w:color="3333CC"/>
        </w:rPr>
        <w:t>Gottfried</w:t>
      </w:r>
      <w:r>
        <w:rPr/>
        <w:t>, J.A. and </w:t>
      </w:r>
      <w:r>
        <w:rPr>
          <w:color w:val="3333CC"/>
          <w:u w:val="single" w:color="3333CC"/>
        </w:rPr>
        <w:t>Anjan Chatterjee</w:t>
      </w:r>
      <w:r>
        <w:rPr/>
        <w:t>. (2001). Carbon monoxide–mediated hippocampal injury. </w:t>
      </w:r>
      <w:r>
        <w:rPr>
          <w:i/>
        </w:rPr>
        <w:t>Neurology, 57(1): 17.</w:t>
      </w:r>
    </w:p>
    <w:p>
      <w:pPr>
        <w:pStyle w:val="BodyText"/>
        <w:spacing w:before="8"/>
        <w:rPr>
          <w:i/>
        </w:rPr>
      </w:pPr>
    </w:p>
    <w:p>
      <w:pPr>
        <w:spacing w:line="244" w:lineRule="auto" w:before="0"/>
        <w:ind w:left="1342" w:right="899" w:hanging="677"/>
        <w:jc w:val="both"/>
        <w:rPr>
          <w:sz w:val="22"/>
        </w:rPr>
      </w:pPr>
      <w:r>
        <w:rPr>
          <w:sz w:val="22"/>
        </w:rPr>
        <w:t>Goyal,</w:t>
      </w:r>
      <w:r>
        <w:rPr>
          <w:spacing w:val="40"/>
          <w:sz w:val="22"/>
        </w:rPr>
        <w:t> </w:t>
      </w:r>
      <w:r>
        <w:rPr>
          <w:sz w:val="22"/>
        </w:rPr>
        <w:t>S.</w:t>
      </w:r>
      <w:r>
        <w:rPr>
          <w:spacing w:val="40"/>
          <w:sz w:val="22"/>
        </w:rPr>
        <w:t> </w:t>
      </w:r>
      <w:r>
        <w:rPr>
          <w:sz w:val="22"/>
        </w:rPr>
        <w:t>(2006).</w:t>
      </w:r>
      <w:r>
        <w:rPr>
          <w:spacing w:val="40"/>
          <w:sz w:val="22"/>
        </w:rPr>
        <w:t> </w:t>
      </w:r>
      <w:r>
        <w:rPr>
          <w:sz w:val="22"/>
        </w:rPr>
        <w:t>Understanding</w:t>
      </w:r>
      <w:r>
        <w:rPr>
          <w:spacing w:val="40"/>
          <w:sz w:val="22"/>
        </w:rPr>
        <w:t> </w:t>
      </w:r>
      <w:r>
        <w:rPr>
          <w:sz w:val="22"/>
        </w:rPr>
        <w:t>urban</w:t>
      </w:r>
      <w:r>
        <w:rPr>
          <w:spacing w:val="40"/>
          <w:sz w:val="22"/>
        </w:rPr>
        <w:t> </w:t>
      </w:r>
      <w:r>
        <w:rPr>
          <w:sz w:val="22"/>
        </w:rPr>
        <w:t>vehicular</w:t>
      </w:r>
      <w:r>
        <w:rPr>
          <w:spacing w:val="40"/>
          <w:sz w:val="22"/>
        </w:rPr>
        <w:t> </w:t>
      </w:r>
      <w:r>
        <w:rPr>
          <w:sz w:val="22"/>
        </w:rPr>
        <w:t>pollution</w:t>
      </w:r>
      <w:r>
        <w:rPr>
          <w:spacing w:val="40"/>
          <w:sz w:val="22"/>
        </w:rPr>
        <w:t> </w:t>
      </w:r>
      <w:r>
        <w:rPr>
          <w:sz w:val="22"/>
        </w:rPr>
        <w:t>problem</w:t>
      </w:r>
      <w:r>
        <w:rPr>
          <w:spacing w:val="40"/>
          <w:sz w:val="22"/>
        </w:rPr>
        <w:t> </w:t>
      </w:r>
      <w:r>
        <w:rPr>
          <w:sz w:val="22"/>
        </w:rPr>
        <w:t>vis-a-vis</w:t>
      </w:r>
      <w:r>
        <w:rPr>
          <w:spacing w:val="40"/>
          <w:sz w:val="22"/>
        </w:rPr>
        <w:t> </w:t>
      </w:r>
      <w:r>
        <w:rPr>
          <w:sz w:val="22"/>
        </w:rPr>
        <w:t>ambient air quality - case study of a megacity (Delhi, India). </w:t>
      </w:r>
      <w:r>
        <w:rPr>
          <w:i/>
          <w:sz w:val="22"/>
        </w:rPr>
        <w:t>Environmental Monitoring</w:t>
      </w:r>
      <w:r>
        <w:rPr>
          <w:i/>
          <w:spacing w:val="40"/>
          <w:sz w:val="22"/>
        </w:rPr>
        <w:t> </w:t>
      </w:r>
      <w:r>
        <w:rPr>
          <w:i/>
          <w:sz w:val="22"/>
        </w:rPr>
        <w:t>and Assessment. </w:t>
      </w:r>
      <w:r>
        <w:rPr>
          <w:sz w:val="22"/>
        </w:rPr>
        <w:t>119: 557-569.</w:t>
      </w:r>
    </w:p>
    <w:p>
      <w:pPr>
        <w:pStyle w:val="BodyText"/>
        <w:spacing w:before="15"/>
      </w:pPr>
    </w:p>
    <w:p>
      <w:pPr>
        <w:spacing w:before="0"/>
        <w:ind w:left="1342" w:right="906" w:hanging="677"/>
        <w:jc w:val="both"/>
        <w:rPr>
          <w:sz w:val="22"/>
        </w:rPr>
      </w:pPr>
      <w:r>
        <w:rPr>
          <w:sz w:val="22"/>
        </w:rPr>
        <w:t>Hampson,</w:t>
      </w:r>
      <w:r>
        <w:rPr>
          <w:spacing w:val="39"/>
          <w:sz w:val="22"/>
        </w:rPr>
        <w:t> </w:t>
      </w:r>
      <w:r>
        <w:rPr>
          <w:sz w:val="22"/>
        </w:rPr>
        <w:t>N.B.</w:t>
      </w:r>
      <w:r>
        <w:rPr>
          <w:spacing w:val="39"/>
          <w:sz w:val="22"/>
        </w:rPr>
        <w:t> </w:t>
      </w:r>
      <w:r>
        <w:rPr>
          <w:sz w:val="22"/>
        </w:rPr>
        <w:t>(1996).</w:t>
      </w:r>
      <w:r>
        <w:rPr>
          <w:spacing w:val="39"/>
          <w:sz w:val="22"/>
        </w:rPr>
        <w:t> </w:t>
      </w:r>
      <w:r>
        <w:rPr>
          <w:sz w:val="22"/>
        </w:rPr>
        <w:t>Carbon monoxide</w:t>
      </w:r>
      <w:r>
        <w:rPr>
          <w:spacing w:val="33"/>
          <w:sz w:val="22"/>
        </w:rPr>
        <w:t> </w:t>
      </w:r>
      <w:r>
        <w:rPr>
          <w:sz w:val="22"/>
        </w:rPr>
        <w:t>poisoning at</w:t>
      </w:r>
      <w:r>
        <w:rPr>
          <w:spacing w:val="38"/>
          <w:sz w:val="22"/>
        </w:rPr>
        <w:t> </w:t>
      </w:r>
      <w:r>
        <w:rPr>
          <w:sz w:val="22"/>
        </w:rPr>
        <w:t>an</w:t>
      </w:r>
      <w:r>
        <w:rPr>
          <w:spacing w:val="35"/>
          <w:sz w:val="22"/>
        </w:rPr>
        <w:t> </w:t>
      </w:r>
      <w:r>
        <w:rPr>
          <w:sz w:val="22"/>
        </w:rPr>
        <w:t>indoor</w:t>
      </w:r>
      <w:r>
        <w:rPr>
          <w:spacing w:val="40"/>
          <w:sz w:val="22"/>
        </w:rPr>
        <w:t> </w:t>
      </w:r>
      <w:r>
        <w:rPr>
          <w:sz w:val="22"/>
        </w:rPr>
        <w:t>ice</w:t>
      </w:r>
      <w:r>
        <w:rPr>
          <w:spacing w:val="39"/>
          <w:sz w:val="22"/>
        </w:rPr>
        <w:t> </w:t>
      </w:r>
      <w:r>
        <w:rPr>
          <w:sz w:val="22"/>
        </w:rPr>
        <w:t>arena</w:t>
      </w:r>
      <w:r>
        <w:rPr>
          <w:spacing w:val="33"/>
          <w:sz w:val="22"/>
        </w:rPr>
        <w:t> </w:t>
      </w:r>
      <w:r>
        <w:rPr>
          <w:sz w:val="22"/>
        </w:rPr>
        <w:t>and</w:t>
      </w:r>
      <w:r>
        <w:rPr>
          <w:spacing w:val="40"/>
          <w:sz w:val="22"/>
        </w:rPr>
        <w:t> </w:t>
      </w:r>
      <w:r>
        <w:rPr>
          <w:sz w:val="22"/>
        </w:rPr>
        <w:t>bingo hall – Seattle. </w:t>
      </w:r>
      <w:r>
        <w:rPr>
          <w:i/>
          <w:sz w:val="22"/>
        </w:rPr>
        <w:t>Morbidity and mortality weekly report</w:t>
      </w:r>
      <w:r>
        <w:rPr>
          <w:sz w:val="22"/>
        </w:rPr>
        <w:t>, 45: 65–267.</w:t>
      </w:r>
    </w:p>
    <w:p>
      <w:pPr>
        <w:pStyle w:val="BodyText"/>
        <w:spacing w:before="14"/>
      </w:pPr>
    </w:p>
    <w:p>
      <w:pPr>
        <w:pStyle w:val="BodyText"/>
        <w:spacing w:line="244" w:lineRule="auto"/>
        <w:ind w:left="1342" w:right="900" w:hanging="677"/>
        <w:jc w:val="both"/>
      </w:pPr>
      <w:r>
        <w:rPr>
          <w:color w:val="3333CC"/>
          <w:u w:val="single" w:color="3333CC"/>
        </w:rPr>
        <w:t>Hampson,</w:t>
      </w:r>
      <w:r>
        <w:rPr>
          <w:color w:val="3333CC"/>
          <w:spacing w:val="40"/>
          <w:u w:val="single" w:color="3333CC"/>
        </w:rPr>
        <w:t> </w:t>
      </w:r>
      <w:r>
        <w:rPr>
          <w:color w:val="3333CC"/>
          <w:u w:val="single" w:color="3333CC"/>
        </w:rPr>
        <w:t>N.B</w:t>
      </w:r>
      <w:r>
        <w:rPr/>
        <w:t>.</w:t>
      </w:r>
      <w:r>
        <w:rPr>
          <w:spacing w:val="40"/>
        </w:rPr>
        <w:t> </w:t>
      </w:r>
      <w:r>
        <w:rPr/>
        <w:t>and</w:t>
      </w:r>
      <w:r>
        <w:rPr>
          <w:spacing w:val="40"/>
        </w:rPr>
        <w:t> </w:t>
      </w:r>
      <w:r>
        <w:rPr>
          <w:color w:val="3333CC"/>
          <w:u w:val="single" w:color="3333CC"/>
        </w:rPr>
        <w:t>Hauff,</w:t>
      </w:r>
      <w:r>
        <w:rPr>
          <w:color w:val="3333CC"/>
          <w:spacing w:val="40"/>
          <w:u w:val="single" w:color="3333CC"/>
        </w:rPr>
        <w:t> </w:t>
      </w:r>
      <w:r>
        <w:rPr>
          <w:color w:val="3333CC"/>
          <w:u w:val="single" w:color="3333CC"/>
        </w:rPr>
        <w:t>N.M</w:t>
      </w:r>
      <w:r>
        <w:rPr/>
        <w:t>.</w:t>
      </w:r>
      <w:r>
        <w:rPr>
          <w:spacing w:val="40"/>
        </w:rPr>
        <w:t> </w:t>
      </w:r>
      <w:r>
        <w:rPr/>
        <w:t>(2008).</w:t>
      </w:r>
      <w:r>
        <w:rPr>
          <w:spacing w:val="40"/>
        </w:rPr>
        <w:t> </w:t>
      </w:r>
      <w:r>
        <w:rPr/>
        <w:t>Carboxyhemoglobin</w:t>
      </w:r>
      <w:r>
        <w:rPr>
          <w:spacing w:val="40"/>
        </w:rPr>
        <w:t> </w:t>
      </w:r>
      <w:r>
        <w:rPr/>
        <w:t>levels</w:t>
      </w:r>
      <w:r>
        <w:rPr>
          <w:spacing w:val="40"/>
        </w:rPr>
        <w:t> </w:t>
      </w:r>
      <w:r>
        <w:rPr/>
        <w:t>in</w:t>
      </w:r>
      <w:r>
        <w:rPr>
          <w:spacing w:val="40"/>
        </w:rPr>
        <w:t> </w:t>
      </w:r>
      <w:r>
        <w:rPr/>
        <w:t>carbon monoxide poisoning: do</w:t>
      </w:r>
      <w:r>
        <w:rPr>
          <w:spacing w:val="40"/>
        </w:rPr>
        <w:t> </w:t>
      </w:r>
      <w:r>
        <w:rPr/>
        <w:t>they correlate with the clinical picture? </w:t>
      </w:r>
      <w:r>
        <w:rPr>
          <w:i/>
        </w:rPr>
        <w:t>American</w:t>
      </w:r>
      <w:r>
        <w:rPr>
          <w:i/>
          <w:spacing w:val="40"/>
        </w:rPr>
        <w:t> </w:t>
      </w:r>
      <w:r>
        <w:rPr>
          <w:i/>
        </w:rPr>
        <w:t>Journal of Emergency Medicine</w:t>
      </w:r>
      <w:r>
        <w:rPr/>
        <w:t>, 26(6): 665-669.</w:t>
      </w:r>
    </w:p>
    <w:p>
      <w:pPr>
        <w:pStyle w:val="BodyText"/>
        <w:spacing w:before="9"/>
      </w:pPr>
    </w:p>
    <w:p>
      <w:pPr>
        <w:pStyle w:val="BodyText"/>
        <w:spacing w:line="247" w:lineRule="auto"/>
        <w:ind w:left="1342" w:right="895" w:hanging="677"/>
        <w:jc w:val="both"/>
      </w:pPr>
      <w:r>
        <w:rPr/>
        <w:t>Han, X. and Naeher, L. (2006). A review of traffic-related air pollution exposure assessment studies in the developing world. </w:t>
      </w:r>
      <w:r>
        <w:rPr>
          <w:i/>
        </w:rPr>
        <w:t>Environment International, </w:t>
      </w:r>
      <w:r>
        <w:rPr/>
        <w:t>32(1):</w:t>
      </w:r>
      <w:r>
        <w:rPr>
          <w:spacing w:val="40"/>
        </w:rPr>
        <w:t> </w:t>
      </w:r>
      <w:r>
        <w:rPr>
          <w:spacing w:val="-2"/>
        </w:rPr>
        <w:t>106-120.</w:t>
      </w:r>
    </w:p>
    <w:p>
      <w:pPr>
        <w:pStyle w:val="BodyText"/>
        <w:spacing w:before="7"/>
      </w:pPr>
    </w:p>
    <w:p>
      <w:pPr>
        <w:spacing w:line="244" w:lineRule="auto" w:before="0"/>
        <w:ind w:left="1342" w:right="896" w:hanging="677"/>
        <w:jc w:val="both"/>
        <w:rPr>
          <w:sz w:val="22"/>
        </w:rPr>
      </w:pPr>
      <w:r>
        <w:rPr>
          <w:sz w:val="22"/>
        </w:rPr>
        <w:t>Handa,</w:t>
      </w:r>
      <w:r>
        <w:rPr>
          <w:spacing w:val="40"/>
          <w:sz w:val="22"/>
        </w:rPr>
        <w:t> </w:t>
      </w:r>
      <w:r>
        <w:rPr>
          <w:sz w:val="22"/>
        </w:rPr>
        <w:t>P.K.</w:t>
      </w:r>
      <w:r>
        <w:rPr>
          <w:spacing w:val="36"/>
          <w:sz w:val="22"/>
        </w:rPr>
        <w:t> </w:t>
      </w:r>
      <w:r>
        <w:rPr>
          <w:sz w:val="22"/>
        </w:rPr>
        <w:t>and</w:t>
      </w:r>
      <w:r>
        <w:rPr>
          <w:spacing w:val="37"/>
          <w:sz w:val="22"/>
        </w:rPr>
        <w:t> </w:t>
      </w:r>
      <w:r>
        <w:rPr>
          <w:sz w:val="22"/>
        </w:rPr>
        <w:t>Tai,</w:t>
      </w:r>
      <w:r>
        <w:rPr>
          <w:spacing w:val="36"/>
          <w:sz w:val="22"/>
        </w:rPr>
        <w:t> </w:t>
      </w:r>
      <w:r>
        <w:rPr>
          <w:sz w:val="22"/>
        </w:rPr>
        <w:t>D.Y.</w:t>
      </w:r>
      <w:r>
        <w:rPr>
          <w:spacing w:val="32"/>
          <w:sz w:val="22"/>
        </w:rPr>
        <w:t> </w:t>
      </w:r>
      <w:r>
        <w:rPr>
          <w:sz w:val="22"/>
        </w:rPr>
        <w:t>(2005).</w:t>
      </w:r>
      <w:r>
        <w:rPr>
          <w:spacing w:val="36"/>
          <w:sz w:val="22"/>
        </w:rPr>
        <w:t> </w:t>
      </w:r>
      <w:r>
        <w:rPr>
          <w:sz w:val="22"/>
        </w:rPr>
        <w:t>Carbon monoxide</w:t>
      </w:r>
      <w:r>
        <w:rPr>
          <w:spacing w:val="31"/>
          <w:sz w:val="22"/>
        </w:rPr>
        <w:t> </w:t>
      </w:r>
      <w:r>
        <w:rPr>
          <w:sz w:val="22"/>
        </w:rPr>
        <w:t>poisoning:</w:t>
      </w:r>
      <w:r>
        <w:rPr>
          <w:spacing w:val="29"/>
          <w:sz w:val="22"/>
        </w:rPr>
        <w:t> </w:t>
      </w:r>
      <w:r>
        <w:rPr>
          <w:sz w:val="22"/>
        </w:rPr>
        <w:t>a</w:t>
      </w:r>
      <w:r>
        <w:rPr>
          <w:spacing w:val="31"/>
          <w:sz w:val="22"/>
        </w:rPr>
        <w:t> </w:t>
      </w:r>
      <w:r>
        <w:rPr>
          <w:sz w:val="22"/>
        </w:rPr>
        <w:t>five</w:t>
      </w:r>
      <w:r>
        <w:rPr>
          <w:spacing w:val="40"/>
          <w:sz w:val="22"/>
        </w:rPr>
        <w:t> </w:t>
      </w:r>
      <w:r>
        <w:rPr>
          <w:sz w:val="22"/>
        </w:rPr>
        <w:t>year</w:t>
      </w:r>
      <w:r>
        <w:rPr>
          <w:spacing w:val="37"/>
          <w:sz w:val="22"/>
        </w:rPr>
        <w:t> </w:t>
      </w:r>
      <w:r>
        <w:rPr>
          <w:sz w:val="22"/>
        </w:rPr>
        <w:t>review</w:t>
      </w:r>
      <w:r>
        <w:rPr>
          <w:spacing w:val="35"/>
          <w:sz w:val="22"/>
        </w:rPr>
        <w:t> </w:t>
      </w:r>
      <w:r>
        <w:rPr>
          <w:sz w:val="22"/>
        </w:rPr>
        <w:t>at Tan Tock Seng Hospital, Singapore. </w:t>
      </w:r>
      <w:r>
        <w:rPr>
          <w:i/>
          <w:sz w:val="22"/>
        </w:rPr>
        <w:t>Annals of Academic Medicine, Singapore</w:t>
      </w:r>
      <w:r>
        <w:rPr>
          <w:sz w:val="22"/>
        </w:rPr>
        <w:t>, 34(10): 611-614.</w:t>
      </w:r>
    </w:p>
    <w:p>
      <w:pPr>
        <w:pStyle w:val="BodyText"/>
        <w:spacing w:before="10"/>
      </w:pPr>
    </w:p>
    <w:p>
      <w:pPr>
        <w:pStyle w:val="BodyText"/>
        <w:spacing w:line="244" w:lineRule="auto"/>
        <w:ind w:left="1342" w:right="895" w:hanging="677"/>
        <w:jc w:val="both"/>
      </w:pPr>
      <w:r>
        <w:rPr>
          <w:color w:val="3333CC"/>
          <w:u w:val="single" w:color="3333CC"/>
        </w:rPr>
        <w:t>Hawkins, R.D</w:t>
      </w:r>
      <w:r>
        <w:rPr/>
        <w:t>., </w:t>
      </w:r>
      <w:r>
        <w:rPr>
          <w:color w:val="3333CC"/>
          <w:u w:val="single" w:color="3333CC"/>
        </w:rPr>
        <w:t>Zhuo, M</w:t>
      </w:r>
      <w:r>
        <w:rPr/>
        <w:t>. and </w:t>
      </w:r>
      <w:r>
        <w:rPr>
          <w:color w:val="3333CC"/>
          <w:u w:val="single" w:color="3333CC"/>
        </w:rPr>
        <w:t>Arancio, O</w:t>
      </w:r>
      <w:r>
        <w:rPr/>
        <w:t>. (1994). Nitric oxide and carbon monoxide as possible</w:t>
      </w:r>
      <w:r>
        <w:rPr>
          <w:spacing w:val="36"/>
        </w:rPr>
        <w:t> </w:t>
      </w:r>
      <w:r>
        <w:rPr/>
        <w:t>retrograde</w:t>
      </w:r>
      <w:r>
        <w:rPr>
          <w:spacing w:val="40"/>
        </w:rPr>
        <w:t> </w:t>
      </w:r>
      <w:r>
        <w:rPr/>
        <w:t>messengers</w:t>
      </w:r>
      <w:r>
        <w:rPr>
          <w:spacing w:val="40"/>
        </w:rPr>
        <w:t> </w:t>
      </w:r>
      <w:r>
        <w:rPr/>
        <w:t>in</w:t>
      </w:r>
      <w:r>
        <w:rPr>
          <w:spacing w:val="40"/>
        </w:rPr>
        <w:t> </w:t>
      </w:r>
      <w:r>
        <w:rPr/>
        <w:t>hippocampal</w:t>
      </w:r>
      <w:r>
        <w:rPr>
          <w:spacing w:val="35"/>
        </w:rPr>
        <w:t> </w:t>
      </w:r>
      <w:r>
        <w:rPr/>
        <w:t>long-term</w:t>
      </w:r>
      <w:r>
        <w:rPr>
          <w:spacing w:val="39"/>
        </w:rPr>
        <w:t> </w:t>
      </w:r>
      <w:r>
        <w:rPr/>
        <w:t>potentiation.</w:t>
      </w:r>
      <w:r>
        <w:rPr>
          <w:spacing w:val="40"/>
        </w:rPr>
        <w:t> </w:t>
      </w:r>
      <w:r>
        <w:rPr>
          <w:i/>
          <w:color w:val="3333CC"/>
          <w:u w:val="single" w:color="3333CC"/>
        </w:rPr>
        <w:t>Journal</w:t>
      </w:r>
      <w:r>
        <w:rPr>
          <w:i/>
          <w:color w:val="3333CC"/>
        </w:rPr>
        <w:t> </w:t>
      </w:r>
      <w:r>
        <w:rPr>
          <w:i/>
          <w:color w:val="3333CC"/>
          <w:u w:val="single" w:color="3333CC"/>
        </w:rPr>
        <w:t>of Neurobiology</w:t>
      </w:r>
      <w:r>
        <w:rPr/>
        <w:t>, 25(6): 652-65.</w:t>
      </w:r>
    </w:p>
    <w:p>
      <w:pPr>
        <w:pStyle w:val="BodyText"/>
        <w:spacing w:before="10"/>
      </w:pPr>
    </w:p>
    <w:p>
      <w:pPr>
        <w:pStyle w:val="BodyText"/>
        <w:spacing w:line="244" w:lineRule="auto"/>
        <w:ind w:left="1342" w:right="902" w:hanging="677"/>
        <w:jc w:val="both"/>
      </w:pPr>
      <w:r>
        <w:rPr/>
        <w:t>Helfaer, M.A. and Traystman, R.J. (1996). Cerebrovascular effects of carbon monoxide. In: Penny, D.G. (Ed) </w:t>
      </w:r>
      <w:r>
        <w:rPr>
          <w:i/>
        </w:rPr>
        <w:t>Carbon monoxide poisoning</w:t>
      </w:r>
      <w:r>
        <w:rPr/>
        <w:t>.</w:t>
      </w:r>
      <w:r>
        <w:rPr>
          <w:spacing w:val="80"/>
        </w:rPr>
        <w:t> </w:t>
      </w:r>
      <w:r>
        <w:rPr/>
        <w:t>CRC Press, New York,</w:t>
      </w:r>
      <w:r>
        <w:rPr>
          <w:spacing w:val="40"/>
        </w:rPr>
        <w:t> </w:t>
      </w:r>
      <w:r>
        <w:rPr/>
        <w:t>U.S.A., pp. 69-86.</w:t>
      </w:r>
    </w:p>
    <w:p>
      <w:pPr>
        <w:pStyle w:val="BodyText"/>
        <w:spacing w:before="9"/>
      </w:pPr>
    </w:p>
    <w:p>
      <w:pPr>
        <w:spacing w:line="244" w:lineRule="auto" w:before="0"/>
        <w:ind w:left="1342" w:right="895" w:hanging="677"/>
        <w:jc w:val="both"/>
        <w:rPr>
          <w:sz w:val="22"/>
        </w:rPr>
      </w:pPr>
      <w:r>
        <w:rPr>
          <w:sz w:val="22"/>
        </w:rPr>
        <w:t>Henry, C.R., Satran, D., Lidgren, C., Adkinson, C., Nicholson, C.I. and Henry, T.D. (2006). Carbon Monoxide Poisoning, Myocardial Injury, and Mortality. </w:t>
      </w:r>
      <w:r>
        <w:rPr>
          <w:i/>
          <w:sz w:val="22"/>
        </w:rPr>
        <w:t>Journal</w:t>
      </w:r>
      <w:r>
        <w:rPr>
          <w:i/>
          <w:spacing w:val="80"/>
          <w:sz w:val="22"/>
        </w:rPr>
        <w:t> </w:t>
      </w:r>
      <w:r>
        <w:rPr>
          <w:i/>
          <w:sz w:val="22"/>
        </w:rPr>
        <w:t>of the American Medical Association</w:t>
      </w:r>
      <w:r>
        <w:rPr>
          <w:sz w:val="22"/>
        </w:rPr>
        <w:t>, 295(22): 2601-3.</w:t>
      </w:r>
    </w:p>
    <w:p>
      <w:pPr>
        <w:pStyle w:val="BodyText"/>
        <w:spacing w:before="10"/>
      </w:pPr>
    </w:p>
    <w:p>
      <w:pPr>
        <w:spacing w:line="249" w:lineRule="auto" w:before="0"/>
        <w:ind w:left="1342" w:right="898" w:hanging="677"/>
        <w:jc w:val="both"/>
        <w:rPr>
          <w:sz w:val="22"/>
        </w:rPr>
      </w:pPr>
      <w:r>
        <w:rPr>
          <w:sz w:val="22"/>
        </w:rPr>
        <w:t>Holland, P.C. and Bouton, M.E. (1999). Hippocampus and context in classical conditioning. </w:t>
      </w:r>
      <w:r>
        <w:rPr>
          <w:i/>
          <w:sz w:val="22"/>
        </w:rPr>
        <w:t>Current Opinion in Neurobiology, </w:t>
      </w:r>
      <w:r>
        <w:rPr>
          <w:sz w:val="22"/>
        </w:rPr>
        <w:t>9: 195-202.</w:t>
      </w:r>
    </w:p>
    <w:p>
      <w:pPr>
        <w:pStyle w:val="BodyText"/>
        <w:spacing w:before="3"/>
      </w:pPr>
    </w:p>
    <w:p>
      <w:pPr>
        <w:spacing w:line="244" w:lineRule="auto" w:before="0"/>
        <w:ind w:left="1342" w:right="897" w:hanging="677"/>
        <w:jc w:val="both"/>
        <w:rPr>
          <w:sz w:val="22"/>
        </w:rPr>
      </w:pPr>
      <w:r>
        <w:rPr>
          <w:sz w:val="22"/>
        </w:rPr>
        <w:t>Hopkins, R.O. and Woon, F.L. (2006). Neuroimaging, cognitive, and neurobehavioral oytcomes following CO poisoning. </w:t>
      </w:r>
      <w:r>
        <w:rPr>
          <w:i/>
          <w:sz w:val="22"/>
        </w:rPr>
        <w:t>Behavioral and Cognitive Neuroscience Review</w:t>
      </w:r>
      <w:r>
        <w:rPr>
          <w:sz w:val="22"/>
        </w:rPr>
        <w:t>, 5(3): 141-155.</w:t>
      </w:r>
    </w:p>
    <w:p>
      <w:pPr>
        <w:pStyle w:val="BodyText"/>
        <w:spacing w:before="10"/>
      </w:pPr>
    </w:p>
    <w:p>
      <w:pPr>
        <w:spacing w:line="244" w:lineRule="auto" w:before="0"/>
        <w:ind w:left="1342" w:right="897" w:hanging="677"/>
        <w:jc w:val="both"/>
        <w:rPr>
          <w:sz w:val="22"/>
        </w:rPr>
      </w:pPr>
      <w:r>
        <w:rPr>
          <w:sz w:val="22"/>
        </w:rPr>
        <w:t>Hopkins, R.O., Weaver, L.K. and Kesner, R.P. (1993). Longterm memory impairments and Hippocampal Magnetic Resonance Imaging in Carbon monoxide poisoned subjects. </w:t>
      </w:r>
      <w:r>
        <w:rPr>
          <w:i/>
          <w:sz w:val="22"/>
        </w:rPr>
        <w:t>The Undersea and Hyperbaric Medical Society, Inc. Annual Scientific Meeting</w:t>
      </w:r>
      <w:r>
        <w:rPr>
          <w:sz w:val="22"/>
        </w:rPr>
        <w:t>. World Trade and Convention Centre, Halifax, Nova Scotia, Canada.</w:t>
      </w:r>
    </w:p>
    <w:p>
      <w:pPr>
        <w:spacing w:after="0" w:line="244" w:lineRule="auto"/>
        <w:jc w:val="both"/>
        <w:rPr>
          <w:sz w:val="22"/>
        </w:rPr>
        <w:sectPr>
          <w:pgSz w:w="12240" w:h="15840"/>
          <w:pgMar w:header="0" w:footer="916" w:top="1260" w:bottom="1100" w:left="1720" w:right="960"/>
        </w:sectPr>
      </w:pPr>
    </w:p>
    <w:p>
      <w:pPr>
        <w:pStyle w:val="BodyText"/>
        <w:spacing w:line="244" w:lineRule="auto" w:before="75"/>
        <w:ind w:left="1342" w:right="900" w:hanging="677"/>
        <w:jc w:val="both"/>
      </w:pPr>
      <w:r>
        <w:rPr/>
        <w:t>Hopkins, R.O., Howe, S., Ershler, L., Walker, J., Weaver, L.K. and Kesner, R.P. (1992). Hippocampal neuronal cellular death due to carbon monoxide poisoning in rats. </w:t>
      </w:r>
      <w:r>
        <w:rPr>
          <w:i/>
        </w:rPr>
        <w:t>Abstract</w:t>
      </w:r>
      <w:r>
        <w:rPr>
          <w:i/>
          <w:spacing w:val="40"/>
        </w:rPr>
        <w:t> </w:t>
      </w:r>
      <w:r>
        <w:rPr>
          <w:i/>
        </w:rPr>
        <w:t>of</w:t>
      </w:r>
      <w:r>
        <w:rPr>
          <w:i/>
          <w:spacing w:val="40"/>
        </w:rPr>
        <w:t> </w:t>
      </w:r>
      <w:r>
        <w:rPr>
          <w:i/>
        </w:rPr>
        <w:t>the</w:t>
      </w:r>
      <w:r>
        <w:rPr>
          <w:i/>
          <w:spacing w:val="40"/>
        </w:rPr>
        <w:t> </w:t>
      </w:r>
      <w:r>
        <w:rPr>
          <w:i/>
        </w:rPr>
        <w:t>Undersea</w:t>
      </w:r>
      <w:r>
        <w:rPr>
          <w:i/>
          <w:spacing w:val="40"/>
        </w:rPr>
        <w:t> </w:t>
      </w:r>
      <w:r>
        <w:rPr>
          <w:i/>
        </w:rPr>
        <w:t>and</w:t>
      </w:r>
      <w:r>
        <w:rPr>
          <w:i/>
          <w:spacing w:val="40"/>
        </w:rPr>
        <w:t> </w:t>
      </w:r>
      <w:r>
        <w:rPr>
          <w:i/>
        </w:rPr>
        <w:t>Hyperbaric</w:t>
      </w:r>
      <w:r>
        <w:rPr>
          <w:i/>
          <w:spacing w:val="40"/>
        </w:rPr>
        <w:t> </w:t>
      </w:r>
      <w:r>
        <w:rPr>
          <w:i/>
        </w:rPr>
        <w:t>Medical</w:t>
      </w:r>
      <w:r>
        <w:rPr>
          <w:i/>
          <w:spacing w:val="40"/>
        </w:rPr>
        <w:t> </w:t>
      </w:r>
      <w:r>
        <w:rPr>
          <w:i/>
        </w:rPr>
        <w:t>Society,</w:t>
      </w:r>
      <w:r>
        <w:rPr>
          <w:i/>
          <w:spacing w:val="40"/>
        </w:rPr>
        <w:t> </w:t>
      </w:r>
      <w:r>
        <w:rPr>
          <w:i/>
        </w:rPr>
        <w:t>Inc.</w:t>
      </w:r>
      <w:r>
        <w:rPr>
          <w:i/>
          <w:spacing w:val="40"/>
        </w:rPr>
        <w:t> </w:t>
      </w:r>
      <w:r>
        <w:rPr/>
        <w:t>Annual Scientific Meeting held June 23-27, 1992. Hyatt Regency Bethesda Hotel, Bethesda, Maryland (http://www.uhms.org).</w:t>
      </w:r>
    </w:p>
    <w:p>
      <w:pPr>
        <w:pStyle w:val="BodyText"/>
        <w:spacing w:before="12"/>
      </w:pPr>
    </w:p>
    <w:p>
      <w:pPr>
        <w:spacing w:line="244" w:lineRule="auto" w:before="0"/>
        <w:ind w:left="1342" w:right="895" w:hanging="677"/>
        <w:jc w:val="both"/>
        <w:rPr>
          <w:sz w:val="22"/>
        </w:rPr>
      </w:pPr>
      <w:r>
        <w:rPr>
          <w:sz w:val="22"/>
        </w:rPr>
        <w:t>Huie, R.E. and Padmaja, S. (1993). The reaction of NO with superoxide. </w:t>
      </w:r>
      <w:r>
        <w:rPr>
          <w:i/>
          <w:sz w:val="22"/>
        </w:rPr>
        <w:t>Free Radical Research Communications, </w:t>
      </w:r>
      <w:r>
        <w:rPr>
          <w:sz w:val="22"/>
        </w:rPr>
        <w:t>18: 195-199.</w:t>
      </w:r>
    </w:p>
    <w:p>
      <w:pPr>
        <w:pStyle w:val="BodyText"/>
        <w:spacing w:before="8"/>
      </w:pPr>
    </w:p>
    <w:p>
      <w:pPr>
        <w:pStyle w:val="BodyText"/>
        <w:spacing w:line="244" w:lineRule="auto" w:before="1"/>
        <w:ind w:left="1342" w:right="904" w:hanging="677"/>
        <w:jc w:val="both"/>
      </w:pPr>
      <w:r>
        <w:rPr/>
        <w:t>Hunter,</w:t>
      </w:r>
      <w:r>
        <w:rPr>
          <w:spacing w:val="40"/>
        </w:rPr>
        <w:t> </w:t>
      </w:r>
      <w:r>
        <w:rPr/>
        <w:t>D.</w:t>
      </w:r>
      <w:r>
        <w:rPr>
          <w:spacing w:val="40"/>
        </w:rPr>
        <w:t> </w:t>
      </w:r>
      <w:r>
        <w:rPr/>
        <w:t>(1978)</w:t>
      </w:r>
      <w:r>
        <w:rPr>
          <w:spacing w:val="40"/>
        </w:rPr>
        <w:t> </w:t>
      </w:r>
      <w:r>
        <w:rPr/>
        <w:t>The</w:t>
      </w:r>
      <w:r>
        <w:rPr>
          <w:spacing w:val="40"/>
        </w:rPr>
        <w:t> </w:t>
      </w:r>
      <w:r>
        <w:rPr/>
        <w:t>Diseases</w:t>
      </w:r>
      <w:r>
        <w:rPr>
          <w:spacing w:val="40"/>
        </w:rPr>
        <w:t> </w:t>
      </w:r>
      <w:r>
        <w:rPr/>
        <w:t>of</w:t>
      </w:r>
      <w:r>
        <w:rPr>
          <w:spacing w:val="40"/>
        </w:rPr>
        <w:t> </w:t>
      </w:r>
      <w:r>
        <w:rPr/>
        <w:t>Occupations.</w:t>
      </w:r>
      <w:r>
        <w:rPr>
          <w:spacing w:val="40"/>
        </w:rPr>
        <w:t> </w:t>
      </w:r>
      <w:r>
        <w:rPr/>
        <w:t>6th</w:t>
      </w:r>
      <w:r>
        <w:rPr>
          <w:spacing w:val="40"/>
        </w:rPr>
        <w:t> </w:t>
      </w:r>
      <w:r>
        <w:rPr/>
        <w:t>Ed.</w:t>
      </w:r>
      <w:r>
        <w:rPr>
          <w:spacing w:val="40"/>
        </w:rPr>
        <w:t> </w:t>
      </w:r>
      <w:r>
        <w:rPr/>
        <w:t>London:</w:t>
      </w:r>
      <w:r>
        <w:rPr>
          <w:spacing w:val="40"/>
        </w:rPr>
        <w:t> </w:t>
      </w:r>
      <w:r>
        <w:rPr/>
        <w:t>Hodder</w:t>
      </w:r>
      <w:r>
        <w:rPr>
          <w:spacing w:val="40"/>
        </w:rPr>
        <w:t> </w:t>
      </w:r>
      <w:r>
        <w:rPr/>
        <w:t>and Stoughton, P. 251.</w:t>
      </w:r>
    </w:p>
    <w:p>
      <w:pPr>
        <w:pStyle w:val="BodyText"/>
        <w:spacing w:before="8"/>
      </w:pPr>
    </w:p>
    <w:p>
      <w:pPr>
        <w:pStyle w:val="BodyText"/>
        <w:spacing w:line="244" w:lineRule="auto"/>
        <w:ind w:left="1342" w:right="897" w:hanging="677"/>
        <w:jc w:val="both"/>
      </w:pPr>
      <w:r>
        <w:rPr/>
        <w:t>Huynh, M., Woodruff, T.J. and Parker, J.D. (2006).</w:t>
      </w:r>
      <w:r>
        <w:rPr>
          <w:spacing w:val="40"/>
        </w:rPr>
        <w:t> </w:t>
      </w:r>
      <w:r>
        <w:rPr/>
        <w:t>Relationships between air pollution and</w:t>
      </w:r>
      <w:r>
        <w:rPr>
          <w:spacing w:val="40"/>
        </w:rPr>
        <w:t> </w:t>
      </w:r>
      <w:r>
        <w:rPr/>
        <w:t>preterm</w:t>
      </w:r>
      <w:r>
        <w:rPr>
          <w:spacing w:val="40"/>
        </w:rPr>
        <w:t> </w:t>
      </w:r>
      <w:r>
        <w:rPr/>
        <w:t>birth</w:t>
      </w:r>
      <w:r>
        <w:rPr>
          <w:spacing w:val="40"/>
        </w:rPr>
        <w:t> </w:t>
      </w:r>
      <w:r>
        <w:rPr/>
        <w:t>in</w:t>
      </w:r>
      <w:r>
        <w:rPr>
          <w:spacing w:val="40"/>
        </w:rPr>
        <w:t> </w:t>
      </w:r>
      <w:r>
        <w:rPr/>
        <w:t>California.</w:t>
      </w:r>
      <w:r>
        <w:rPr>
          <w:spacing w:val="80"/>
        </w:rPr>
        <w:t> </w:t>
      </w:r>
      <w:r>
        <w:rPr>
          <w:i/>
        </w:rPr>
        <w:t>Paediatric</w:t>
      </w:r>
      <w:r>
        <w:rPr>
          <w:i/>
          <w:spacing w:val="40"/>
        </w:rPr>
        <w:t> </w:t>
      </w:r>
      <w:r>
        <w:rPr>
          <w:i/>
        </w:rPr>
        <w:t>Perinatal</w:t>
      </w:r>
      <w:r>
        <w:rPr>
          <w:i/>
          <w:spacing w:val="40"/>
        </w:rPr>
        <w:t> </w:t>
      </w:r>
      <w:r>
        <w:rPr>
          <w:i/>
        </w:rPr>
        <w:t>Epidemiology</w:t>
      </w:r>
      <w:r>
        <w:rPr/>
        <w:t>,</w:t>
      </w:r>
      <w:r>
        <w:rPr>
          <w:spacing w:val="40"/>
        </w:rPr>
        <w:t> </w:t>
      </w:r>
      <w:r>
        <w:rPr/>
        <w:t>20:</w:t>
      </w:r>
      <w:r>
        <w:rPr>
          <w:spacing w:val="40"/>
        </w:rPr>
        <w:t> </w:t>
      </w:r>
      <w:r>
        <w:rPr/>
        <w:t>454- </w:t>
      </w:r>
      <w:r>
        <w:rPr>
          <w:spacing w:val="-4"/>
        </w:rPr>
        <w:t>461.</w:t>
      </w:r>
    </w:p>
    <w:p>
      <w:pPr>
        <w:pStyle w:val="BodyText"/>
        <w:spacing w:before="10"/>
      </w:pPr>
    </w:p>
    <w:p>
      <w:pPr>
        <w:pStyle w:val="BodyText"/>
        <w:spacing w:line="244" w:lineRule="auto"/>
        <w:ind w:left="1342" w:right="895" w:hanging="677"/>
        <w:jc w:val="both"/>
      </w:pPr>
      <w:r>
        <w:rPr/>
        <w:t>Ingi,</w:t>
      </w:r>
      <w:r>
        <w:rPr>
          <w:spacing w:val="40"/>
        </w:rPr>
        <w:t> </w:t>
      </w:r>
      <w:r>
        <w:rPr/>
        <w:t>T.</w:t>
      </w:r>
      <w:r>
        <w:rPr>
          <w:spacing w:val="40"/>
        </w:rPr>
        <w:t> </w:t>
      </w:r>
      <w:r>
        <w:rPr/>
        <w:t>and</w:t>
      </w:r>
      <w:r>
        <w:rPr>
          <w:spacing w:val="40"/>
        </w:rPr>
        <w:t> </w:t>
      </w:r>
      <w:r>
        <w:rPr/>
        <w:t>Ronnett,</w:t>
      </w:r>
      <w:r>
        <w:rPr>
          <w:spacing w:val="40"/>
        </w:rPr>
        <w:t> </w:t>
      </w:r>
      <w:r>
        <w:rPr/>
        <w:t>G.V.</w:t>
      </w:r>
      <w:r>
        <w:rPr>
          <w:spacing w:val="40"/>
        </w:rPr>
        <w:t> </w:t>
      </w:r>
      <w:r>
        <w:rPr/>
        <w:t>(1995).</w:t>
      </w:r>
      <w:r>
        <w:rPr>
          <w:spacing w:val="40"/>
        </w:rPr>
        <w:t> </w:t>
      </w:r>
      <w:r>
        <w:rPr/>
        <w:t>Direct</w:t>
      </w:r>
      <w:r>
        <w:rPr>
          <w:spacing w:val="40"/>
        </w:rPr>
        <w:t> </w:t>
      </w:r>
      <w:r>
        <w:rPr/>
        <w:t>demonstration</w:t>
      </w:r>
      <w:r>
        <w:rPr>
          <w:spacing w:val="40"/>
        </w:rPr>
        <w:t> </w:t>
      </w:r>
      <w:r>
        <w:rPr/>
        <w:t>of</w:t>
      </w:r>
      <w:r>
        <w:rPr>
          <w:spacing w:val="40"/>
        </w:rPr>
        <w:t> </w:t>
      </w:r>
      <w:r>
        <w:rPr/>
        <w:t>a physiological role</w:t>
      </w:r>
      <w:r>
        <w:rPr>
          <w:spacing w:val="40"/>
        </w:rPr>
        <w:t> </w:t>
      </w:r>
      <w:r>
        <w:rPr/>
        <w:t>for carbon monoxide in olfactory receptor neurons. </w:t>
      </w:r>
      <w:r>
        <w:rPr>
          <w:i/>
        </w:rPr>
        <w:t>Journal of Neuroscience, </w:t>
      </w:r>
      <w:r>
        <w:rPr/>
        <w:t>15:</w:t>
      </w:r>
      <w:r>
        <w:rPr>
          <w:spacing w:val="40"/>
        </w:rPr>
        <w:t> </w:t>
      </w:r>
      <w:r>
        <w:rPr>
          <w:spacing w:val="-2"/>
        </w:rPr>
        <w:t>8214-8222.</w:t>
      </w:r>
    </w:p>
    <w:p>
      <w:pPr>
        <w:pStyle w:val="BodyText"/>
        <w:spacing w:before="14"/>
      </w:pPr>
    </w:p>
    <w:p>
      <w:pPr>
        <w:pStyle w:val="BodyText"/>
        <w:spacing w:line="244" w:lineRule="auto"/>
        <w:ind w:left="1342" w:right="900" w:hanging="677"/>
        <w:jc w:val="both"/>
      </w:pPr>
      <w:r>
        <w:rPr/>
        <w:t>International Archives of Occupational and Environmental Health. (1983). Carbon monoxide, 51(4): 355-363.</w:t>
      </w:r>
    </w:p>
    <w:p>
      <w:pPr>
        <w:pStyle w:val="BodyText"/>
        <w:spacing w:before="9"/>
      </w:pPr>
    </w:p>
    <w:p>
      <w:pPr>
        <w:pStyle w:val="BodyText"/>
        <w:spacing w:line="244" w:lineRule="auto"/>
        <w:ind w:left="1342" w:right="900" w:hanging="677"/>
        <w:jc w:val="both"/>
      </w:pPr>
      <w:r>
        <w:rPr/>
        <w:t>Itoh J.,</w:t>
      </w:r>
      <w:r>
        <w:rPr>
          <w:spacing w:val="24"/>
        </w:rPr>
        <w:t> </w:t>
      </w:r>
      <w:r>
        <w:rPr/>
        <w:t>Nabeshima,</w:t>
      </w:r>
      <w:r>
        <w:rPr>
          <w:spacing w:val="30"/>
        </w:rPr>
        <w:t> </w:t>
      </w:r>
      <w:r>
        <w:rPr/>
        <w:t>T.</w:t>
      </w:r>
      <w:r>
        <w:rPr>
          <w:spacing w:val="24"/>
        </w:rPr>
        <w:t> </w:t>
      </w:r>
      <w:r>
        <w:rPr/>
        <w:t>and</w:t>
      </w:r>
      <w:r>
        <w:rPr>
          <w:spacing w:val="31"/>
        </w:rPr>
        <w:t> </w:t>
      </w:r>
      <w:r>
        <w:rPr/>
        <w:t>Kameyama,</w:t>
      </w:r>
      <w:r>
        <w:rPr>
          <w:spacing w:val="30"/>
        </w:rPr>
        <w:t> </w:t>
      </w:r>
      <w:r>
        <w:rPr/>
        <w:t>T.</w:t>
      </w:r>
      <w:r>
        <w:rPr>
          <w:spacing w:val="24"/>
        </w:rPr>
        <w:t> </w:t>
      </w:r>
      <w:r>
        <w:rPr/>
        <w:t>(1990). Utility of an</w:t>
      </w:r>
      <w:r>
        <w:rPr>
          <w:spacing w:val="25"/>
        </w:rPr>
        <w:t> </w:t>
      </w:r>
      <w:r>
        <w:rPr/>
        <w:t>Elevated</w:t>
      </w:r>
      <w:r>
        <w:rPr>
          <w:spacing w:val="25"/>
        </w:rPr>
        <w:t> </w:t>
      </w:r>
      <w:r>
        <w:rPr/>
        <w:t>Plus Maze</w:t>
      </w:r>
      <w:r>
        <w:rPr>
          <w:spacing w:val="24"/>
        </w:rPr>
        <w:t> </w:t>
      </w:r>
      <w:r>
        <w:rPr/>
        <w:t>for the Evaluation of memory in mice: effects of narcotropics, scopolamine and electroconvulsive shock. </w:t>
      </w:r>
      <w:r>
        <w:rPr>
          <w:i/>
        </w:rPr>
        <w:t>Psychopharmacology</w:t>
      </w:r>
      <w:r>
        <w:rPr/>
        <w:t>, 101: 27-33.</w:t>
      </w:r>
    </w:p>
    <w:p>
      <w:pPr>
        <w:pStyle w:val="BodyText"/>
        <w:spacing w:before="10"/>
      </w:pPr>
    </w:p>
    <w:p>
      <w:pPr>
        <w:pStyle w:val="BodyText"/>
        <w:spacing w:line="244" w:lineRule="auto"/>
        <w:ind w:left="1342" w:right="895" w:hanging="677"/>
        <w:jc w:val="both"/>
      </w:pPr>
      <w:r>
        <w:rPr/>
        <w:t>Ischiropoulos, H., Beers, M.F., Ohnishi, S.T., Fisher, D., Garner, S.E. and Thom, S.R. (1996). Nitric oxide production and perivascular tyrosine nitration in brain after carbon</w:t>
      </w:r>
      <w:r>
        <w:rPr>
          <w:spacing w:val="40"/>
        </w:rPr>
        <w:t> </w:t>
      </w:r>
      <w:r>
        <w:rPr/>
        <w:t>monoxide</w:t>
      </w:r>
      <w:r>
        <w:rPr>
          <w:spacing w:val="40"/>
        </w:rPr>
        <w:t> </w:t>
      </w:r>
      <w:r>
        <w:rPr/>
        <w:t>poisoning</w:t>
      </w:r>
      <w:r>
        <w:rPr>
          <w:spacing w:val="40"/>
        </w:rPr>
        <w:t> </w:t>
      </w:r>
      <w:r>
        <w:rPr/>
        <w:t>in</w:t>
      </w:r>
      <w:r>
        <w:rPr>
          <w:spacing w:val="40"/>
        </w:rPr>
        <w:t> </w:t>
      </w:r>
      <w:r>
        <w:rPr/>
        <w:t>the</w:t>
      </w:r>
      <w:r>
        <w:rPr>
          <w:spacing w:val="40"/>
        </w:rPr>
        <w:t> </w:t>
      </w:r>
      <w:r>
        <w:rPr/>
        <w:t>rat.</w:t>
      </w:r>
      <w:r>
        <w:rPr>
          <w:spacing w:val="40"/>
        </w:rPr>
        <w:t> </w:t>
      </w:r>
      <w:r>
        <w:rPr>
          <w:i/>
        </w:rPr>
        <w:t>Journal</w:t>
      </w:r>
      <w:r>
        <w:rPr>
          <w:i/>
          <w:spacing w:val="40"/>
        </w:rPr>
        <w:t> </w:t>
      </w:r>
      <w:r>
        <w:rPr>
          <w:i/>
        </w:rPr>
        <w:t>of</w:t>
      </w:r>
      <w:r>
        <w:rPr>
          <w:i/>
          <w:spacing w:val="40"/>
        </w:rPr>
        <w:t> </w:t>
      </w:r>
      <w:r>
        <w:rPr>
          <w:i/>
        </w:rPr>
        <w:t>Clinical</w:t>
      </w:r>
      <w:r>
        <w:rPr>
          <w:i/>
          <w:spacing w:val="40"/>
        </w:rPr>
        <w:t> </w:t>
      </w:r>
      <w:r>
        <w:rPr>
          <w:i/>
        </w:rPr>
        <w:t>Investigation,</w:t>
      </w:r>
      <w:r>
        <w:rPr>
          <w:i/>
          <w:spacing w:val="40"/>
        </w:rPr>
        <w:t> </w:t>
      </w:r>
      <w:r>
        <w:rPr/>
        <w:t>97: </w:t>
      </w:r>
      <w:r>
        <w:rPr>
          <w:spacing w:val="-2"/>
        </w:rPr>
        <w:t>2260-2267.</w:t>
      </w:r>
    </w:p>
    <w:p>
      <w:pPr>
        <w:spacing w:line="244" w:lineRule="auto" w:before="9"/>
        <w:ind w:left="1342" w:right="903" w:hanging="677"/>
        <w:jc w:val="both"/>
        <w:rPr>
          <w:sz w:val="22"/>
        </w:rPr>
      </w:pPr>
      <w:r>
        <w:rPr>
          <w:sz w:val="22"/>
        </w:rPr>
        <w:t>Jalaludin, B., Morgan, G. and Lincoln, D. (2006).</w:t>
      </w:r>
      <w:r>
        <w:rPr>
          <w:spacing w:val="40"/>
          <w:sz w:val="22"/>
        </w:rPr>
        <w:t> </w:t>
      </w:r>
      <w:r>
        <w:rPr>
          <w:sz w:val="22"/>
        </w:rPr>
        <w:t>Associations between ambient air pollution</w:t>
      </w:r>
      <w:r>
        <w:rPr>
          <w:spacing w:val="40"/>
          <w:sz w:val="22"/>
        </w:rPr>
        <w:t> </w:t>
      </w:r>
      <w:r>
        <w:rPr>
          <w:sz w:val="22"/>
        </w:rPr>
        <w:t>and</w:t>
      </w:r>
      <w:r>
        <w:rPr>
          <w:spacing w:val="40"/>
          <w:sz w:val="22"/>
        </w:rPr>
        <w:t> </w:t>
      </w:r>
      <w:r>
        <w:rPr>
          <w:sz w:val="22"/>
        </w:rPr>
        <w:t>daily</w:t>
      </w:r>
      <w:r>
        <w:rPr>
          <w:spacing w:val="40"/>
          <w:sz w:val="22"/>
        </w:rPr>
        <w:t> </w:t>
      </w:r>
      <w:r>
        <w:rPr>
          <w:sz w:val="22"/>
        </w:rPr>
        <w:t>emergency</w:t>
      </w:r>
      <w:r>
        <w:rPr>
          <w:spacing w:val="40"/>
          <w:sz w:val="22"/>
        </w:rPr>
        <w:t> </w:t>
      </w:r>
      <w:r>
        <w:rPr>
          <w:sz w:val="22"/>
        </w:rPr>
        <w:t>department</w:t>
      </w:r>
      <w:r>
        <w:rPr>
          <w:spacing w:val="40"/>
          <w:sz w:val="22"/>
        </w:rPr>
        <w:t> </w:t>
      </w:r>
      <w:r>
        <w:rPr>
          <w:sz w:val="22"/>
        </w:rPr>
        <w:t>attendances</w:t>
      </w:r>
      <w:r>
        <w:rPr>
          <w:spacing w:val="40"/>
          <w:sz w:val="22"/>
        </w:rPr>
        <w:t> </w:t>
      </w:r>
      <w:r>
        <w:rPr>
          <w:sz w:val="22"/>
        </w:rPr>
        <w:t>for</w:t>
      </w:r>
      <w:r>
        <w:rPr>
          <w:spacing w:val="40"/>
          <w:sz w:val="22"/>
        </w:rPr>
        <w:t> </w:t>
      </w:r>
      <w:r>
        <w:rPr>
          <w:sz w:val="22"/>
        </w:rPr>
        <w:t>cardiovascular disease in the elderly (65+ years).</w:t>
      </w:r>
      <w:r>
        <w:rPr>
          <w:spacing w:val="40"/>
          <w:sz w:val="22"/>
        </w:rPr>
        <w:t> </w:t>
      </w:r>
      <w:r>
        <w:rPr>
          <w:i/>
          <w:sz w:val="22"/>
        </w:rPr>
        <w:t>Journal of Exposure Science and</w:t>
      </w:r>
      <w:r>
        <w:rPr>
          <w:i/>
          <w:spacing w:val="40"/>
          <w:sz w:val="22"/>
        </w:rPr>
        <w:t> </w:t>
      </w:r>
      <w:r>
        <w:rPr>
          <w:i/>
          <w:sz w:val="22"/>
        </w:rPr>
        <w:t>Environmental Epidemiology</w:t>
      </w:r>
      <w:r>
        <w:rPr>
          <w:sz w:val="22"/>
        </w:rPr>
        <w:t>, 16: 225-237.</w:t>
      </w:r>
    </w:p>
    <w:p>
      <w:pPr>
        <w:pStyle w:val="BodyText"/>
        <w:spacing w:before="6"/>
      </w:pPr>
    </w:p>
    <w:p>
      <w:pPr>
        <w:pStyle w:val="BodyText"/>
        <w:spacing w:line="244" w:lineRule="auto"/>
        <w:ind w:left="1342" w:right="898" w:hanging="677"/>
        <w:jc w:val="both"/>
      </w:pPr>
      <w:r>
        <w:rPr/>
        <w:t>Jasper,</w:t>
      </w:r>
      <w:r>
        <w:rPr>
          <w:spacing w:val="40"/>
        </w:rPr>
        <w:t> </w:t>
      </w:r>
      <w:r>
        <w:rPr/>
        <w:t>B.W.,</w:t>
      </w:r>
      <w:r>
        <w:rPr>
          <w:spacing w:val="40"/>
        </w:rPr>
        <w:t> </w:t>
      </w:r>
      <w:r>
        <w:rPr/>
        <w:t>Hopkins,</w:t>
      </w:r>
      <w:r>
        <w:rPr>
          <w:spacing w:val="40"/>
        </w:rPr>
        <w:t> </w:t>
      </w:r>
      <w:r>
        <w:rPr/>
        <w:t>R.O.,</w:t>
      </w:r>
      <w:r>
        <w:rPr>
          <w:spacing w:val="40"/>
        </w:rPr>
        <w:t> </w:t>
      </w:r>
      <w:r>
        <w:rPr/>
        <w:t>Duker,</w:t>
      </w:r>
      <w:r>
        <w:rPr>
          <w:spacing w:val="40"/>
        </w:rPr>
        <w:t> </w:t>
      </w:r>
      <w:r>
        <w:rPr/>
        <w:t>H.V.</w:t>
      </w:r>
      <w:r>
        <w:rPr>
          <w:spacing w:val="40"/>
        </w:rPr>
        <w:t> </w:t>
      </w:r>
      <w:r>
        <w:rPr/>
        <w:t>and</w:t>
      </w:r>
      <w:r>
        <w:rPr>
          <w:spacing w:val="40"/>
        </w:rPr>
        <w:t> </w:t>
      </w:r>
      <w:r>
        <w:rPr/>
        <w:t>Weaver,</w:t>
      </w:r>
      <w:r>
        <w:rPr>
          <w:spacing w:val="40"/>
        </w:rPr>
        <w:t> </w:t>
      </w:r>
      <w:r>
        <w:rPr/>
        <w:t>L.K.,</w:t>
      </w:r>
      <w:r>
        <w:rPr>
          <w:spacing w:val="40"/>
        </w:rPr>
        <w:t> </w:t>
      </w:r>
      <w:r>
        <w:rPr/>
        <w:t>(2005).</w:t>
      </w:r>
      <w:r>
        <w:rPr>
          <w:spacing w:val="80"/>
        </w:rPr>
        <w:t> </w:t>
      </w:r>
      <w:r>
        <w:rPr/>
        <w:t>Affective outcome</w:t>
      </w:r>
      <w:r>
        <w:rPr>
          <w:spacing w:val="40"/>
        </w:rPr>
        <w:t> </w:t>
      </w:r>
      <w:r>
        <w:rPr/>
        <w:t>following</w:t>
      </w:r>
      <w:r>
        <w:rPr>
          <w:spacing w:val="40"/>
        </w:rPr>
        <w:t> </w:t>
      </w:r>
      <w:r>
        <w:rPr/>
        <w:t>carbon</w:t>
      </w:r>
      <w:r>
        <w:rPr>
          <w:spacing w:val="40"/>
        </w:rPr>
        <w:t> </w:t>
      </w:r>
      <w:r>
        <w:rPr/>
        <w:t>monoxide</w:t>
      </w:r>
      <w:r>
        <w:rPr>
          <w:spacing w:val="40"/>
        </w:rPr>
        <w:t> </w:t>
      </w:r>
      <w:r>
        <w:rPr/>
        <w:t>poisoning:</w:t>
      </w:r>
      <w:r>
        <w:rPr>
          <w:spacing w:val="40"/>
        </w:rPr>
        <w:t> </w:t>
      </w:r>
      <w:r>
        <w:rPr/>
        <w:t>a</w:t>
      </w:r>
      <w:r>
        <w:rPr>
          <w:spacing w:val="40"/>
        </w:rPr>
        <w:t> </w:t>
      </w:r>
      <w:r>
        <w:rPr/>
        <w:t>prospective</w:t>
      </w:r>
      <w:r>
        <w:rPr>
          <w:spacing w:val="40"/>
        </w:rPr>
        <w:t> </w:t>
      </w:r>
      <w:r>
        <w:rPr/>
        <w:t>longitudinal study. </w:t>
      </w:r>
      <w:r>
        <w:rPr>
          <w:i/>
        </w:rPr>
        <w:t>Cognitive Behavioural Neurology</w:t>
      </w:r>
      <w:r>
        <w:rPr/>
        <w:t>, 18: 127-34.</w:t>
      </w:r>
    </w:p>
    <w:p>
      <w:pPr>
        <w:pStyle w:val="BodyText"/>
        <w:spacing w:before="15"/>
      </w:pPr>
    </w:p>
    <w:p>
      <w:pPr>
        <w:pStyle w:val="BodyText"/>
        <w:spacing w:line="244" w:lineRule="auto"/>
        <w:ind w:left="1342" w:right="895" w:hanging="677"/>
        <w:jc w:val="both"/>
      </w:pPr>
      <w:r>
        <w:rPr/>
        <w:t>Kanten, W.E., Penney, D.G., Francisco, K. and Thill, J.E. (1983). Hemodynamic</w:t>
      </w:r>
      <w:r>
        <w:rPr>
          <w:spacing w:val="40"/>
        </w:rPr>
        <w:t> </w:t>
      </w:r>
      <w:r>
        <w:rPr/>
        <w:t>responses to acute carboxyhemoglobinemia in the rat. </w:t>
      </w:r>
      <w:r>
        <w:rPr>
          <w:i/>
        </w:rPr>
        <w:t>American Journal of Physiology, </w:t>
      </w:r>
      <w:r>
        <w:rPr/>
        <w:t>244: 320-327.</w:t>
      </w:r>
    </w:p>
    <w:p>
      <w:pPr>
        <w:pStyle w:val="BodyText"/>
        <w:spacing w:before="9"/>
      </w:pPr>
    </w:p>
    <w:p>
      <w:pPr>
        <w:pStyle w:val="BodyText"/>
        <w:ind w:left="665"/>
      </w:pPr>
      <w:r>
        <w:rPr/>
        <w:t>Kao,</w:t>
      </w:r>
      <w:r>
        <w:rPr>
          <w:spacing w:val="74"/>
        </w:rPr>
        <w:t> </w:t>
      </w:r>
      <w:r>
        <w:rPr/>
        <w:t>L.W.</w:t>
      </w:r>
      <w:r>
        <w:rPr>
          <w:spacing w:val="76"/>
        </w:rPr>
        <w:t> </w:t>
      </w:r>
      <w:r>
        <w:rPr/>
        <w:t>and</w:t>
      </w:r>
      <w:r>
        <w:rPr>
          <w:spacing w:val="77"/>
        </w:rPr>
        <w:t> </w:t>
      </w:r>
      <w:r>
        <w:rPr/>
        <w:t>Nanagas,</w:t>
      </w:r>
      <w:r>
        <w:rPr>
          <w:spacing w:val="75"/>
        </w:rPr>
        <w:t> </w:t>
      </w:r>
      <w:r>
        <w:rPr/>
        <w:t>K.A.</w:t>
      </w:r>
      <w:r>
        <w:rPr>
          <w:spacing w:val="70"/>
        </w:rPr>
        <w:t> </w:t>
      </w:r>
      <w:r>
        <w:rPr/>
        <w:t>(2006).</w:t>
      </w:r>
      <w:r>
        <w:rPr>
          <w:spacing w:val="71"/>
        </w:rPr>
        <w:t> </w:t>
      </w:r>
      <w:r>
        <w:rPr/>
        <w:t>Toxicity</w:t>
      </w:r>
      <w:r>
        <w:rPr>
          <w:spacing w:val="66"/>
        </w:rPr>
        <w:t> </w:t>
      </w:r>
      <w:r>
        <w:rPr/>
        <w:t>associated</w:t>
      </w:r>
      <w:r>
        <w:rPr>
          <w:spacing w:val="76"/>
        </w:rPr>
        <w:t> </w:t>
      </w:r>
      <w:r>
        <w:rPr/>
        <w:t>with</w:t>
      </w:r>
      <w:r>
        <w:rPr>
          <w:spacing w:val="68"/>
        </w:rPr>
        <w:t> </w:t>
      </w:r>
      <w:r>
        <w:rPr/>
        <w:t>carbon</w:t>
      </w:r>
      <w:r>
        <w:rPr>
          <w:spacing w:val="66"/>
        </w:rPr>
        <w:t> </w:t>
      </w:r>
      <w:r>
        <w:rPr>
          <w:spacing w:val="-2"/>
        </w:rPr>
        <w:t>monoxide.</w:t>
      </w:r>
    </w:p>
    <w:p>
      <w:pPr>
        <w:pStyle w:val="BodyText"/>
        <w:spacing w:before="7"/>
        <w:ind w:left="1342"/>
      </w:pPr>
      <w:r>
        <w:rPr/>
        <w:t>Clinics</w:t>
      </w:r>
      <w:r>
        <w:rPr>
          <w:spacing w:val="17"/>
        </w:rPr>
        <w:t> </w:t>
      </w:r>
      <w:r>
        <w:rPr/>
        <w:t>in</w:t>
      </w:r>
      <w:r>
        <w:rPr>
          <w:spacing w:val="15"/>
        </w:rPr>
        <w:t> </w:t>
      </w:r>
      <w:r>
        <w:rPr/>
        <w:t>laboratory</w:t>
      </w:r>
      <w:r>
        <w:rPr>
          <w:spacing w:val="3"/>
        </w:rPr>
        <w:t> </w:t>
      </w:r>
      <w:r>
        <w:rPr/>
        <w:t>Medicine,</w:t>
      </w:r>
      <w:r>
        <w:rPr>
          <w:spacing w:val="20"/>
        </w:rPr>
        <w:t> </w:t>
      </w:r>
      <w:r>
        <w:rPr/>
        <w:t>26(1):</w:t>
      </w:r>
      <w:r>
        <w:rPr>
          <w:spacing w:val="12"/>
        </w:rPr>
        <w:t> </w:t>
      </w:r>
      <w:r>
        <w:rPr/>
        <w:t>99-</w:t>
      </w:r>
      <w:r>
        <w:rPr>
          <w:spacing w:val="-4"/>
        </w:rPr>
        <w:t>125.</w:t>
      </w:r>
    </w:p>
    <w:p>
      <w:pPr>
        <w:pStyle w:val="BodyText"/>
        <w:spacing w:before="12"/>
      </w:pPr>
    </w:p>
    <w:p>
      <w:pPr>
        <w:pStyle w:val="BodyText"/>
        <w:spacing w:line="244" w:lineRule="auto"/>
        <w:ind w:left="1342" w:right="897" w:hanging="677"/>
        <w:jc w:val="both"/>
        <w:rPr>
          <w:i/>
        </w:rPr>
      </w:pPr>
      <w:r>
        <w:rPr>
          <w:color w:val="3333CC"/>
          <w:u w:val="single" w:color="3333CC"/>
        </w:rPr>
        <w:t>Karim, A.A</w:t>
      </w:r>
      <w:r>
        <w:rPr/>
        <w:t>., </w:t>
      </w:r>
      <w:r>
        <w:rPr>
          <w:color w:val="3333CC"/>
          <w:u w:val="single" w:color="3333CC"/>
        </w:rPr>
        <w:t>Reem, S.A., Kahkashan, M</w:t>
      </w:r>
      <w:r>
        <w:rPr/>
        <w:t>. and </w:t>
      </w:r>
      <w:r>
        <w:rPr>
          <w:color w:val="3333CC"/>
          <w:u w:val="single" w:color="3333CC"/>
        </w:rPr>
        <w:t>Yvonne, H.H</w:t>
      </w:r>
      <w:r>
        <w:rPr/>
        <w:t>. (2001). Retrograde Carbon Monoxide Is Required for Induction of Long-Term Potentiation in Rat Superior Cervical Ganglion. </w:t>
      </w:r>
      <w:r>
        <w:rPr>
          <w:i/>
        </w:rPr>
        <w:t>The Journal of Neuroscience, 21</w:t>
      </w:r>
      <w:r>
        <w:rPr/>
        <w:t>(10): </w:t>
      </w:r>
      <w:r>
        <w:rPr>
          <w:i/>
        </w:rPr>
        <w:t>3515-3520;</w:t>
      </w:r>
    </w:p>
    <w:p>
      <w:pPr>
        <w:spacing w:after="0" w:line="244" w:lineRule="auto"/>
        <w:jc w:val="both"/>
        <w:sectPr>
          <w:pgSz w:w="12240" w:h="15840"/>
          <w:pgMar w:header="0" w:footer="916" w:top="1260" w:bottom="1100" w:left="1720" w:right="960"/>
        </w:sectPr>
      </w:pPr>
    </w:p>
    <w:p>
      <w:pPr>
        <w:spacing w:line="244" w:lineRule="auto" w:before="74"/>
        <w:ind w:left="1342" w:right="900" w:hanging="677"/>
        <w:jc w:val="both"/>
        <w:rPr>
          <w:sz w:val="22"/>
        </w:rPr>
      </w:pPr>
      <w:r>
        <w:rPr>
          <w:sz w:val="22"/>
        </w:rPr>
        <w:t>Katoh, A., Nabeshima, T.</w:t>
      </w:r>
      <w:r>
        <w:rPr>
          <w:spacing w:val="40"/>
          <w:sz w:val="22"/>
        </w:rPr>
        <w:t> </w:t>
      </w:r>
      <w:r>
        <w:rPr>
          <w:sz w:val="22"/>
        </w:rPr>
        <w:t>and Ishimaru, H. (1991). Carbon monoxide-induced delayed amnesia, delayed neuronal death and change in acetylcholine concentration in mice. </w:t>
      </w:r>
      <w:r>
        <w:rPr>
          <w:i/>
          <w:sz w:val="22"/>
        </w:rPr>
        <w:t>Journal of Pharmacology and Experimental Therapeutics</w:t>
      </w:r>
      <w:r>
        <w:rPr>
          <w:sz w:val="22"/>
        </w:rPr>
        <w:t>, 256: 378–84.</w:t>
      </w:r>
    </w:p>
    <w:p>
      <w:pPr>
        <w:pStyle w:val="BodyText"/>
        <w:spacing w:before="10"/>
      </w:pPr>
    </w:p>
    <w:p>
      <w:pPr>
        <w:pStyle w:val="BodyText"/>
        <w:spacing w:line="244" w:lineRule="auto"/>
        <w:ind w:left="1342" w:right="894" w:hanging="677"/>
        <w:jc w:val="both"/>
      </w:pPr>
      <w:r>
        <w:rPr/>
        <w:t>Koehler,</w:t>
      </w:r>
      <w:r>
        <w:rPr>
          <w:spacing w:val="40"/>
        </w:rPr>
        <w:t> </w:t>
      </w:r>
      <w:r>
        <w:rPr/>
        <w:t>R.C.,</w:t>
      </w:r>
      <w:r>
        <w:rPr>
          <w:spacing w:val="40"/>
        </w:rPr>
        <w:t> </w:t>
      </w:r>
      <w:r>
        <w:rPr/>
        <w:t>Jones,</w:t>
      </w:r>
      <w:r>
        <w:rPr>
          <w:spacing w:val="40"/>
        </w:rPr>
        <w:t> </w:t>
      </w:r>
      <w:r>
        <w:rPr/>
        <w:t>M.D.,</w:t>
      </w:r>
      <w:r>
        <w:rPr>
          <w:spacing w:val="40"/>
        </w:rPr>
        <w:t> </w:t>
      </w:r>
      <w:r>
        <w:rPr/>
        <w:t>Jr.</w:t>
      </w:r>
      <w:r>
        <w:rPr>
          <w:spacing w:val="40"/>
        </w:rPr>
        <w:t> </w:t>
      </w:r>
      <w:r>
        <w:rPr/>
        <w:t>and</w:t>
      </w:r>
      <w:r>
        <w:rPr>
          <w:spacing w:val="40"/>
        </w:rPr>
        <w:t> </w:t>
      </w:r>
      <w:r>
        <w:rPr/>
        <w:t>Traystman,</w:t>
      </w:r>
      <w:r>
        <w:rPr>
          <w:spacing w:val="40"/>
        </w:rPr>
        <w:t> </w:t>
      </w:r>
      <w:r>
        <w:rPr/>
        <w:t>R.J.</w:t>
      </w:r>
      <w:r>
        <w:rPr>
          <w:spacing w:val="40"/>
        </w:rPr>
        <w:t> </w:t>
      </w:r>
      <w:r>
        <w:rPr/>
        <w:t>(1982).</w:t>
      </w:r>
      <w:r>
        <w:rPr>
          <w:spacing w:val="40"/>
        </w:rPr>
        <w:t> </w:t>
      </w:r>
      <w:r>
        <w:rPr/>
        <w:t>Cerebral</w:t>
      </w:r>
      <w:r>
        <w:rPr>
          <w:spacing w:val="40"/>
        </w:rPr>
        <w:t> </w:t>
      </w:r>
      <w:r>
        <w:rPr/>
        <w:t>circulatory response</w:t>
      </w:r>
      <w:r>
        <w:rPr>
          <w:spacing w:val="40"/>
        </w:rPr>
        <w:t> </w:t>
      </w:r>
      <w:r>
        <w:rPr/>
        <w:t>to</w:t>
      </w:r>
      <w:r>
        <w:rPr>
          <w:spacing w:val="40"/>
        </w:rPr>
        <w:t> </w:t>
      </w:r>
      <w:r>
        <w:rPr/>
        <w:t>carbon</w:t>
      </w:r>
      <w:r>
        <w:rPr>
          <w:spacing w:val="40"/>
        </w:rPr>
        <w:t> </w:t>
      </w:r>
      <w:r>
        <w:rPr/>
        <w:t>monoxide</w:t>
      </w:r>
      <w:r>
        <w:rPr>
          <w:spacing w:val="40"/>
        </w:rPr>
        <w:t> </w:t>
      </w:r>
      <w:r>
        <w:rPr/>
        <w:t>and</w:t>
      </w:r>
      <w:r>
        <w:rPr>
          <w:spacing w:val="40"/>
        </w:rPr>
        <w:t> </w:t>
      </w:r>
      <w:r>
        <w:rPr/>
        <w:t>hypoxic</w:t>
      </w:r>
      <w:r>
        <w:rPr>
          <w:spacing w:val="40"/>
        </w:rPr>
        <w:t> </w:t>
      </w:r>
      <w:r>
        <w:rPr/>
        <w:t>hypoxia</w:t>
      </w:r>
      <w:r>
        <w:rPr>
          <w:spacing w:val="40"/>
        </w:rPr>
        <w:t> </w:t>
      </w:r>
      <w:r>
        <w:rPr/>
        <w:t>in</w:t>
      </w:r>
      <w:r>
        <w:rPr>
          <w:spacing w:val="40"/>
        </w:rPr>
        <w:t> </w:t>
      </w:r>
      <w:r>
        <w:rPr/>
        <w:t>the</w:t>
      </w:r>
      <w:r>
        <w:rPr>
          <w:spacing w:val="40"/>
        </w:rPr>
        <w:t> </w:t>
      </w:r>
      <w:r>
        <w:rPr/>
        <w:t>lamb.</w:t>
      </w:r>
      <w:r>
        <w:rPr>
          <w:spacing w:val="40"/>
        </w:rPr>
        <w:t> </w:t>
      </w:r>
      <w:r>
        <w:rPr>
          <w:i/>
        </w:rPr>
        <w:t>American Journal of Physiology, </w:t>
      </w:r>
      <w:r>
        <w:rPr/>
        <w:t>243: 27-32.</w:t>
      </w:r>
    </w:p>
    <w:p>
      <w:pPr>
        <w:pStyle w:val="BodyText"/>
        <w:spacing w:before="10"/>
      </w:pPr>
    </w:p>
    <w:p>
      <w:pPr>
        <w:pStyle w:val="BodyText"/>
        <w:spacing w:line="247" w:lineRule="auto"/>
        <w:ind w:left="1342" w:right="905" w:hanging="677"/>
        <w:jc w:val="both"/>
      </w:pPr>
      <w:r>
        <w:rPr/>
        <w:t>Kopt,</w:t>
      </w:r>
      <w:r>
        <w:rPr>
          <w:spacing w:val="40"/>
        </w:rPr>
        <w:t> </w:t>
      </w:r>
      <w:r>
        <w:rPr/>
        <w:t>S.R.,</w:t>
      </w:r>
      <w:r>
        <w:rPr>
          <w:spacing w:val="40"/>
        </w:rPr>
        <w:t> </w:t>
      </w:r>
      <w:r>
        <w:rPr/>
        <w:t>Benton,</w:t>
      </w:r>
      <w:r>
        <w:rPr>
          <w:spacing w:val="40"/>
        </w:rPr>
        <w:t> </w:t>
      </w:r>
      <w:r>
        <w:rPr/>
        <w:t>R.S.,</w:t>
      </w:r>
      <w:r>
        <w:rPr>
          <w:spacing w:val="40"/>
        </w:rPr>
        <w:t> </w:t>
      </w:r>
      <w:r>
        <w:rPr/>
        <w:t>Kalfin,</w:t>
      </w:r>
      <w:r>
        <w:rPr>
          <w:spacing w:val="40"/>
        </w:rPr>
        <w:t> </w:t>
      </w:r>
      <w:r>
        <w:rPr/>
        <w:t>R.,</w:t>
      </w:r>
      <w:r>
        <w:rPr>
          <w:spacing w:val="40"/>
        </w:rPr>
        <w:t> </w:t>
      </w:r>
      <w:r>
        <w:rPr/>
        <w:t>Giovannini,</w:t>
      </w:r>
      <w:r>
        <w:rPr>
          <w:spacing w:val="40"/>
        </w:rPr>
        <w:t> </w:t>
      </w:r>
      <w:r>
        <w:rPr/>
        <w:t>M.G.</w:t>
      </w:r>
      <w:r>
        <w:rPr>
          <w:spacing w:val="40"/>
        </w:rPr>
        <w:t> </w:t>
      </w:r>
      <w:r>
        <w:rPr/>
        <w:t>and</w:t>
      </w:r>
      <w:r>
        <w:rPr>
          <w:spacing w:val="40"/>
        </w:rPr>
        <w:t> </w:t>
      </w:r>
      <w:r>
        <w:rPr/>
        <w:t>Pepeu,</w:t>
      </w:r>
      <w:r>
        <w:rPr>
          <w:spacing w:val="40"/>
        </w:rPr>
        <w:t> </w:t>
      </w:r>
      <w:r>
        <w:rPr/>
        <w:t>G.</w:t>
      </w:r>
      <w:r>
        <w:rPr>
          <w:spacing w:val="40"/>
        </w:rPr>
        <w:t> </w:t>
      </w:r>
      <w:r>
        <w:rPr/>
        <w:t>(2001).</w:t>
      </w:r>
      <w:r>
        <w:rPr>
          <w:spacing w:val="40"/>
        </w:rPr>
        <w:t> </w:t>
      </w:r>
      <w:r>
        <w:rPr/>
        <w:t>Nitric oxide synthesis inhibition decreases cortical acetylcholine release and impairs retention of a conditioned response. </w:t>
      </w:r>
      <w:r>
        <w:rPr>
          <w:i/>
        </w:rPr>
        <w:t>Brain Research</w:t>
      </w:r>
      <w:r>
        <w:rPr/>
        <w:t>, 894(1): 141–144.</w:t>
      </w:r>
    </w:p>
    <w:p>
      <w:pPr>
        <w:pStyle w:val="BodyText"/>
        <w:spacing w:before="6"/>
      </w:pPr>
    </w:p>
    <w:p>
      <w:pPr>
        <w:pStyle w:val="BodyText"/>
        <w:spacing w:line="244" w:lineRule="auto" w:before="1"/>
        <w:ind w:left="1342" w:right="896" w:hanging="677"/>
        <w:jc w:val="both"/>
      </w:pPr>
      <w:r>
        <w:rPr>
          <w:color w:val="3333CC"/>
          <w:u w:val="single" w:color="3333CC"/>
        </w:rPr>
        <w:t>Koroleva, V.I</w:t>
      </w:r>
      <w:r>
        <w:rPr/>
        <w:t>., </w:t>
      </w:r>
      <w:r>
        <w:rPr>
          <w:color w:val="3333CC"/>
          <w:u w:val="single" w:color="3333CC"/>
        </w:rPr>
        <w:t>Korolev, O.S</w:t>
      </w:r>
      <w:r>
        <w:rPr/>
        <w:t>., </w:t>
      </w:r>
      <w:r>
        <w:rPr>
          <w:color w:val="3333CC"/>
          <w:u w:val="single" w:color="3333CC"/>
        </w:rPr>
        <w:t>Mares, V</w:t>
      </w:r>
      <w:r>
        <w:rPr/>
        <w:t>., </w:t>
      </w:r>
      <w:r>
        <w:rPr>
          <w:color w:val="3333CC"/>
          <w:u w:val="single" w:color="3333CC"/>
        </w:rPr>
        <w:t>Pastalkova, E</w:t>
      </w:r>
      <w:r>
        <w:rPr/>
        <w:t>. and </w:t>
      </w:r>
      <w:r>
        <w:rPr>
          <w:color w:val="3333CC"/>
          <w:u w:val="single" w:color="3333CC"/>
        </w:rPr>
        <w:t>Bures, J</w:t>
      </w:r>
      <w:r>
        <w:rPr/>
        <w:t>. (1999). Hippocampal damage induced by carbon monoxide poisoning and spreading depression is alleviated by chronic treatment with brain derived polypeptides. </w:t>
      </w:r>
      <w:r>
        <w:rPr>
          <w:i/>
          <w:color w:val="3333CC"/>
          <w:u w:val="single" w:color="3333CC"/>
        </w:rPr>
        <w:t>Brain Research</w:t>
      </w:r>
      <w:r>
        <w:rPr/>
        <w:t>, 816(2): 618-27.</w:t>
      </w:r>
    </w:p>
    <w:p>
      <w:pPr>
        <w:pStyle w:val="BodyText"/>
        <w:spacing w:before="6"/>
      </w:pPr>
    </w:p>
    <w:p>
      <w:pPr>
        <w:pStyle w:val="BodyText"/>
        <w:spacing w:line="247" w:lineRule="auto"/>
        <w:ind w:left="1342" w:right="901" w:hanging="677"/>
        <w:jc w:val="both"/>
      </w:pPr>
      <w:r>
        <w:rPr/>
        <w:t>Kwon,</w:t>
      </w:r>
      <w:r>
        <w:rPr>
          <w:spacing w:val="40"/>
        </w:rPr>
        <w:t> </w:t>
      </w:r>
      <w:r>
        <w:rPr/>
        <w:t>O.Y.,</w:t>
      </w:r>
      <w:r>
        <w:rPr>
          <w:spacing w:val="40"/>
        </w:rPr>
        <w:t> </w:t>
      </w:r>
      <w:r>
        <w:rPr/>
        <w:t>Chung,</w:t>
      </w:r>
      <w:r>
        <w:rPr>
          <w:spacing w:val="40"/>
        </w:rPr>
        <w:t> </w:t>
      </w:r>
      <w:r>
        <w:rPr/>
        <w:t>S.P.,</w:t>
      </w:r>
      <w:r>
        <w:rPr>
          <w:spacing w:val="40"/>
        </w:rPr>
        <w:t> </w:t>
      </w:r>
      <w:r>
        <w:rPr/>
        <w:t>Ha,</w:t>
      </w:r>
      <w:r>
        <w:rPr>
          <w:spacing w:val="40"/>
        </w:rPr>
        <w:t> </w:t>
      </w:r>
      <w:r>
        <w:rPr/>
        <w:t>Y.R.,</w:t>
      </w:r>
      <w:r>
        <w:rPr>
          <w:spacing w:val="40"/>
        </w:rPr>
        <w:t> </w:t>
      </w:r>
      <w:r>
        <w:rPr/>
        <w:t>Yoo,</w:t>
      </w:r>
      <w:r>
        <w:rPr>
          <w:spacing w:val="40"/>
        </w:rPr>
        <w:t> </w:t>
      </w:r>
      <w:r>
        <w:rPr/>
        <w:t>I.S.</w:t>
      </w:r>
      <w:r>
        <w:rPr>
          <w:spacing w:val="40"/>
        </w:rPr>
        <w:t> </w:t>
      </w:r>
      <w:r>
        <w:rPr/>
        <w:t>and</w:t>
      </w:r>
      <w:r>
        <w:rPr>
          <w:spacing w:val="40"/>
        </w:rPr>
        <w:t> </w:t>
      </w:r>
      <w:r>
        <w:rPr/>
        <w:t>Kim,</w:t>
      </w:r>
      <w:r>
        <w:rPr>
          <w:spacing w:val="40"/>
        </w:rPr>
        <w:t> </w:t>
      </w:r>
      <w:r>
        <w:rPr/>
        <w:t>S.W.</w:t>
      </w:r>
      <w:r>
        <w:rPr>
          <w:spacing w:val="40"/>
        </w:rPr>
        <w:t> </w:t>
      </w:r>
      <w:r>
        <w:rPr/>
        <w:t>(2004).</w:t>
      </w:r>
      <w:r>
        <w:rPr>
          <w:spacing w:val="40"/>
        </w:rPr>
        <w:t> </w:t>
      </w:r>
      <w:r>
        <w:rPr/>
        <w:t>Delayed postanoxic encephalopathy after carbon monoxide poisoning. </w:t>
      </w:r>
      <w:r>
        <w:rPr>
          <w:i/>
        </w:rPr>
        <w:t>Emergency</w:t>
      </w:r>
      <w:r>
        <w:rPr>
          <w:i/>
          <w:spacing w:val="40"/>
        </w:rPr>
        <w:t> </w:t>
      </w:r>
      <w:r>
        <w:rPr>
          <w:i/>
        </w:rPr>
        <w:t>Medicine Journal, </w:t>
      </w:r>
      <w:r>
        <w:rPr/>
        <w:t>21(2): 250–251.</w:t>
      </w:r>
    </w:p>
    <w:p>
      <w:pPr>
        <w:pStyle w:val="BodyText"/>
        <w:spacing w:before="6"/>
      </w:pPr>
    </w:p>
    <w:p>
      <w:pPr>
        <w:spacing w:line="244" w:lineRule="auto" w:before="1"/>
        <w:ind w:left="1342" w:right="900" w:hanging="677"/>
        <w:jc w:val="both"/>
        <w:rPr>
          <w:sz w:val="22"/>
        </w:rPr>
      </w:pPr>
      <w:r>
        <w:rPr>
          <w:sz w:val="22"/>
        </w:rPr>
        <w:t>Lang, Wendy, M.A., White and Owen, B. (2010). Carbon Monoxide Poisoning: Impact</w:t>
      </w:r>
      <w:r>
        <w:rPr>
          <w:spacing w:val="80"/>
          <w:sz w:val="22"/>
        </w:rPr>
        <w:t> </w:t>
      </w:r>
      <w:r>
        <w:rPr>
          <w:sz w:val="22"/>
        </w:rPr>
        <w:t>on Ocular Motility. </w:t>
      </w:r>
      <w:r>
        <w:rPr>
          <w:i/>
          <w:sz w:val="22"/>
        </w:rPr>
        <w:t>Cognitive and Behavioural Neurology</w:t>
      </w:r>
      <w:r>
        <w:rPr>
          <w:sz w:val="22"/>
        </w:rPr>
        <w:t>, 23(4): 256–261.</w:t>
      </w:r>
    </w:p>
    <w:p>
      <w:pPr>
        <w:pStyle w:val="BodyText"/>
        <w:spacing w:before="8"/>
      </w:pPr>
    </w:p>
    <w:p>
      <w:pPr>
        <w:pStyle w:val="BodyText"/>
        <w:spacing w:line="244" w:lineRule="auto"/>
        <w:ind w:left="1342" w:right="899" w:hanging="677"/>
        <w:jc w:val="both"/>
      </w:pPr>
      <w:r>
        <w:rPr/>
        <w:t>Langston, P., Gorman, D. and Runciman, W. (1996).</w:t>
      </w:r>
      <w:r>
        <w:rPr>
          <w:spacing w:val="40"/>
        </w:rPr>
        <w:t> </w:t>
      </w:r>
      <w:r>
        <w:rPr/>
        <w:t>The effect of carbon monoxide on oxygen metabolism in the brains of awake sheep. </w:t>
      </w:r>
      <w:r>
        <w:rPr>
          <w:i/>
        </w:rPr>
        <w:t>Toxicology</w:t>
      </w:r>
      <w:r>
        <w:rPr/>
        <w:t>, 114: 223-232.</w:t>
      </w:r>
    </w:p>
    <w:p>
      <w:pPr>
        <w:pStyle w:val="BodyText"/>
        <w:spacing w:before="9"/>
      </w:pPr>
    </w:p>
    <w:p>
      <w:pPr>
        <w:pStyle w:val="BodyText"/>
        <w:spacing w:line="247" w:lineRule="auto"/>
        <w:ind w:left="1342" w:right="898" w:hanging="677"/>
        <w:jc w:val="both"/>
      </w:pPr>
      <w:r>
        <w:rPr/>
        <w:t>Lapresle, J. and Fardeau, M. (1967). The central nervous system and carbon monoxide poisoning II. Anatomical study of the brain lesions following intoxication with carbon monoxide. In: Bour, H. and Ledingham, I.M., (Ed) carbon monoxide poisoning. </w:t>
      </w:r>
      <w:r>
        <w:rPr>
          <w:i/>
        </w:rPr>
        <w:t>Progress in Brain Research</w:t>
      </w:r>
      <w:r>
        <w:rPr/>
        <w:t>, 24: 31-74.</w:t>
      </w:r>
    </w:p>
    <w:p>
      <w:pPr>
        <w:pStyle w:val="BodyText"/>
        <w:spacing w:before="5"/>
      </w:pPr>
    </w:p>
    <w:p>
      <w:pPr>
        <w:spacing w:line="244" w:lineRule="auto" w:before="0"/>
        <w:ind w:left="1342" w:right="897" w:hanging="677"/>
        <w:jc w:val="both"/>
        <w:rPr>
          <w:sz w:val="22"/>
        </w:rPr>
      </w:pPr>
      <w:r>
        <w:rPr>
          <w:sz w:val="22"/>
        </w:rPr>
        <w:t>Lascaratos, J.G. and Marketos, S.G. (1998). The Carbon monoxide Poisoning of two Byzantine emperors. </w:t>
      </w:r>
      <w:r>
        <w:rPr>
          <w:i/>
          <w:sz w:val="22"/>
        </w:rPr>
        <w:t>Journal of Toxicology-Clinical Toxicology</w:t>
      </w:r>
      <w:r>
        <w:rPr>
          <w:sz w:val="22"/>
        </w:rPr>
        <w:t>, 36(1-2): 103-</w:t>
      </w:r>
      <w:r>
        <w:rPr>
          <w:spacing w:val="40"/>
          <w:sz w:val="22"/>
        </w:rPr>
        <w:t> </w:t>
      </w:r>
      <w:r>
        <w:rPr>
          <w:spacing w:val="-4"/>
          <w:sz w:val="22"/>
        </w:rPr>
        <w:t>107.</w:t>
      </w:r>
    </w:p>
    <w:p>
      <w:pPr>
        <w:pStyle w:val="BodyText"/>
        <w:spacing w:before="10"/>
      </w:pPr>
    </w:p>
    <w:p>
      <w:pPr>
        <w:spacing w:before="0"/>
        <w:ind w:left="1342" w:right="904" w:hanging="677"/>
        <w:jc w:val="both"/>
        <w:rPr>
          <w:sz w:val="22"/>
        </w:rPr>
      </w:pPr>
      <w:r>
        <w:rPr>
          <w:sz w:val="22"/>
        </w:rPr>
        <w:t>Leon,</w:t>
      </w:r>
      <w:r>
        <w:rPr>
          <w:spacing w:val="40"/>
          <w:sz w:val="22"/>
        </w:rPr>
        <w:t> </w:t>
      </w:r>
      <w:r>
        <w:rPr>
          <w:sz w:val="22"/>
        </w:rPr>
        <w:t>D.P.</w:t>
      </w:r>
      <w:r>
        <w:rPr>
          <w:spacing w:val="40"/>
          <w:sz w:val="22"/>
        </w:rPr>
        <w:t> </w:t>
      </w:r>
      <w:r>
        <w:rPr>
          <w:sz w:val="22"/>
        </w:rPr>
        <w:t>and</w:t>
      </w:r>
      <w:r>
        <w:rPr>
          <w:spacing w:val="40"/>
          <w:sz w:val="22"/>
        </w:rPr>
        <w:t> </w:t>
      </w:r>
      <w:r>
        <w:rPr>
          <w:sz w:val="22"/>
        </w:rPr>
        <w:t>Rossitza,</w:t>
      </w:r>
      <w:r>
        <w:rPr>
          <w:spacing w:val="40"/>
          <w:sz w:val="22"/>
        </w:rPr>
        <w:t> </w:t>
      </w:r>
      <w:r>
        <w:rPr>
          <w:sz w:val="22"/>
        </w:rPr>
        <w:t>I.C.</w:t>
      </w:r>
      <w:r>
        <w:rPr>
          <w:spacing w:val="40"/>
          <w:sz w:val="22"/>
        </w:rPr>
        <w:t> </w:t>
      </w:r>
      <w:r>
        <w:rPr>
          <w:sz w:val="22"/>
        </w:rPr>
        <w:t>(2007).</w:t>
      </w:r>
      <w:r>
        <w:rPr>
          <w:spacing w:val="40"/>
          <w:sz w:val="22"/>
        </w:rPr>
        <w:t> </w:t>
      </w:r>
      <w:r>
        <w:rPr>
          <w:sz w:val="22"/>
        </w:rPr>
        <w:t>Carbon</w:t>
      </w:r>
      <w:r>
        <w:rPr>
          <w:spacing w:val="40"/>
          <w:sz w:val="22"/>
        </w:rPr>
        <w:t> </w:t>
      </w:r>
      <w:r>
        <w:rPr>
          <w:sz w:val="22"/>
        </w:rPr>
        <w:t>monoxide</w:t>
      </w:r>
      <w:r>
        <w:rPr>
          <w:spacing w:val="40"/>
          <w:sz w:val="22"/>
        </w:rPr>
        <w:t> </w:t>
      </w:r>
      <w:r>
        <w:rPr>
          <w:sz w:val="22"/>
        </w:rPr>
        <w:t>intoxication:</w:t>
      </w:r>
      <w:r>
        <w:rPr>
          <w:spacing w:val="40"/>
          <w:sz w:val="22"/>
        </w:rPr>
        <w:t> </w:t>
      </w:r>
      <w:r>
        <w:rPr>
          <w:sz w:val="22"/>
        </w:rPr>
        <w:t>An</w:t>
      </w:r>
      <w:r>
        <w:rPr>
          <w:spacing w:val="40"/>
          <w:sz w:val="22"/>
        </w:rPr>
        <w:t> </w:t>
      </w:r>
      <w:r>
        <w:rPr>
          <w:sz w:val="22"/>
        </w:rPr>
        <w:t>updated review. </w:t>
      </w:r>
      <w:r>
        <w:rPr>
          <w:i/>
          <w:sz w:val="22"/>
        </w:rPr>
        <w:t>Journal of the Neurological Sciences, </w:t>
      </w:r>
      <w:r>
        <w:rPr>
          <w:sz w:val="22"/>
        </w:rPr>
        <w:t>262: 1-2, 122-130.</w:t>
      </w:r>
    </w:p>
    <w:p>
      <w:pPr>
        <w:pStyle w:val="BodyText"/>
        <w:spacing w:before="18"/>
      </w:pPr>
    </w:p>
    <w:p>
      <w:pPr>
        <w:pStyle w:val="BodyText"/>
        <w:spacing w:line="244" w:lineRule="auto" w:before="1"/>
        <w:ind w:left="1342" w:right="891" w:hanging="677"/>
        <w:jc w:val="both"/>
      </w:pPr>
      <w:r>
        <w:rPr/>
        <w:t>Leem, J.H., Kaplan, B.M. and Shim, Y.K. (2006).</w:t>
      </w:r>
      <w:r>
        <w:rPr>
          <w:spacing w:val="40"/>
        </w:rPr>
        <w:t> </w:t>
      </w:r>
      <w:r>
        <w:rPr/>
        <w:t>Exposures to air pollutants during pregnancy</w:t>
      </w:r>
      <w:r>
        <w:rPr>
          <w:spacing w:val="40"/>
        </w:rPr>
        <w:t> </w:t>
      </w:r>
      <w:r>
        <w:rPr/>
        <w:t>and</w:t>
      </w:r>
      <w:r>
        <w:rPr>
          <w:spacing w:val="40"/>
        </w:rPr>
        <w:t> </w:t>
      </w:r>
      <w:r>
        <w:rPr/>
        <w:t>preterm</w:t>
      </w:r>
      <w:r>
        <w:rPr>
          <w:spacing w:val="40"/>
        </w:rPr>
        <w:t> </w:t>
      </w:r>
      <w:r>
        <w:rPr/>
        <w:t>delivery.</w:t>
      </w:r>
      <w:r>
        <w:rPr>
          <w:spacing w:val="80"/>
        </w:rPr>
        <w:t> </w:t>
      </w:r>
      <w:r>
        <w:rPr>
          <w:i/>
        </w:rPr>
        <w:t>Environmental</w:t>
      </w:r>
      <w:r>
        <w:rPr>
          <w:i/>
          <w:spacing w:val="40"/>
        </w:rPr>
        <w:t> </w:t>
      </w:r>
      <w:r>
        <w:rPr>
          <w:i/>
        </w:rPr>
        <w:t>Health</w:t>
      </w:r>
      <w:r>
        <w:rPr>
          <w:i/>
          <w:spacing w:val="40"/>
        </w:rPr>
        <w:t> </w:t>
      </w:r>
      <w:r>
        <w:rPr>
          <w:i/>
        </w:rPr>
        <w:t>Perspective</w:t>
      </w:r>
      <w:r>
        <w:rPr/>
        <w:t>,</w:t>
      </w:r>
      <w:r>
        <w:rPr>
          <w:spacing w:val="40"/>
        </w:rPr>
        <w:t> </w:t>
      </w:r>
      <w:r>
        <w:rPr/>
        <w:t>114(6): </w:t>
      </w:r>
      <w:r>
        <w:rPr>
          <w:spacing w:val="-2"/>
        </w:rPr>
        <w:t>905-910.</w:t>
      </w:r>
    </w:p>
    <w:p>
      <w:pPr>
        <w:pStyle w:val="BodyText"/>
        <w:spacing w:before="9"/>
      </w:pPr>
    </w:p>
    <w:p>
      <w:pPr>
        <w:spacing w:line="244" w:lineRule="auto" w:before="0"/>
        <w:ind w:left="1342" w:right="896" w:hanging="677"/>
        <w:jc w:val="both"/>
        <w:rPr>
          <w:sz w:val="22"/>
        </w:rPr>
      </w:pPr>
      <w:r>
        <w:rPr>
          <w:sz w:val="22"/>
        </w:rPr>
        <w:t>Lindsay, H.E. (2001). Global warming and the Kyoto protocol. </w:t>
      </w:r>
      <w:r>
        <w:rPr>
          <w:i/>
          <w:sz w:val="22"/>
        </w:rPr>
        <w:t>Environmental policy </w:t>
      </w:r>
      <w:r>
        <w:rPr>
          <w:i/>
          <w:spacing w:val="-2"/>
          <w:sz w:val="22"/>
        </w:rPr>
        <w:t>Issues</w:t>
      </w:r>
      <w:r>
        <w:rPr>
          <w:spacing w:val="-2"/>
          <w:sz w:val="22"/>
        </w:rPr>
        <w:t>,</w:t>
      </w:r>
    </w:p>
    <w:p>
      <w:pPr>
        <w:pStyle w:val="BodyText"/>
        <w:spacing w:before="9"/>
      </w:pPr>
    </w:p>
    <w:p>
      <w:pPr>
        <w:pStyle w:val="BodyText"/>
        <w:spacing w:line="244" w:lineRule="auto"/>
        <w:ind w:left="1342" w:right="897" w:hanging="677"/>
        <w:jc w:val="both"/>
      </w:pPr>
      <w:r>
        <w:rPr/>
        <w:t>Lingyun, W.U. and Wang, R. (2005). Carbon Monoxide: Endogenous Production, Physiological Functions, and Pharmacological Applications. </w:t>
      </w:r>
      <w:r>
        <w:rPr>
          <w:i/>
        </w:rPr>
        <w:t>Pharmacology Review, U.S.A. </w:t>
      </w:r>
      <w:r>
        <w:rPr/>
        <w:t>57(457): 585–630.</w:t>
      </w:r>
    </w:p>
    <w:p>
      <w:pPr>
        <w:spacing w:after="0" w:line="244" w:lineRule="auto"/>
        <w:jc w:val="both"/>
        <w:sectPr>
          <w:pgSz w:w="12240" w:h="15840"/>
          <w:pgMar w:header="0" w:footer="916" w:top="1520" w:bottom="1100" w:left="1720" w:right="960"/>
        </w:sectPr>
      </w:pPr>
    </w:p>
    <w:p>
      <w:pPr>
        <w:pStyle w:val="BodyText"/>
        <w:spacing w:line="244" w:lineRule="auto" w:before="74"/>
        <w:ind w:left="1342" w:right="903" w:hanging="677"/>
        <w:jc w:val="both"/>
      </w:pPr>
      <w:r>
        <w:rPr/>
        <w:t>Liu, Q., Zhou, L., Zheng, N., Zhuo, L., Liu, Y. and Liu, L. (2009). Poisoning Deaths in China: type and prevalence detected at the Tongji Forensic Medical Centrein Hubei. </w:t>
      </w:r>
      <w:r>
        <w:rPr>
          <w:i/>
        </w:rPr>
        <w:t>Clinical Toxicology</w:t>
      </w:r>
      <w:r>
        <w:rPr/>
        <w:t>, 47(2): 137-41.</w:t>
      </w:r>
    </w:p>
    <w:p>
      <w:pPr>
        <w:pStyle w:val="BodyText"/>
        <w:spacing w:before="10"/>
      </w:pPr>
    </w:p>
    <w:p>
      <w:pPr>
        <w:pStyle w:val="BodyText"/>
        <w:spacing w:line="244" w:lineRule="auto"/>
        <w:ind w:left="1342" w:right="898" w:hanging="677"/>
        <w:jc w:val="both"/>
      </w:pPr>
      <w:r>
        <w:rPr/>
        <w:t>Lizasoain, I., Moro, M.A., Knowles, R.G., Darley-Usmar, V. and Moncada, S. (1996). Nitric oxide and peroxynitrate exert distinct effects on mitochondrial respiration which</w:t>
      </w:r>
      <w:r>
        <w:rPr>
          <w:spacing w:val="40"/>
        </w:rPr>
        <w:t> </w:t>
      </w:r>
      <w:r>
        <w:rPr/>
        <w:t>are</w:t>
      </w:r>
      <w:r>
        <w:rPr>
          <w:spacing w:val="40"/>
        </w:rPr>
        <w:t> </w:t>
      </w:r>
      <w:r>
        <w:rPr/>
        <w:t>differentially</w:t>
      </w:r>
      <w:r>
        <w:rPr>
          <w:spacing w:val="40"/>
        </w:rPr>
        <w:t> </w:t>
      </w:r>
      <w:r>
        <w:rPr/>
        <w:t>blocked</w:t>
      </w:r>
      <w:r>
        <w:rPr>
          <w:spacing w:val="40"/>
        </w:rPr>
        <w:t> </w:t>
      </w:r>
      <w:r>
        <w:rPr/>
        <w:t>by</w:t>
      </w:r>
      <w:r>
        <w:rPr>
          <w:spacing w:val="40"/>
        </w:rPr>
        <w:t> </w:t>
      </w:r>
      <w:r>
        <w:rPr/>
        <w:t>glutathione</w:t>
      </w:r>
      <w:r>
        <w:rPr>
          <w:spacing w:val="40"/>
        </w:rPr>
        <w:t> </w:t>
      </w:r>
      <w:r>
        <w:rPr/>
        <w:t>or</w:t>
      </w:r>
      <w:r>
        <w:rPr>
          <w:spacing w:val="40"/>
        </w:rPr>
        <w:t> </w:t>
      </w:r>
      <w:r>
        <w:rPr/>
        <w:t>glucose.</w:t>
      </w:r>
      <w:r>
        <w:rPr>
          <w:spacing w:val="40"/>
        </w:rPr>
        <w:t> </w:t>
      </w:r>
      <w:r>
        <w:rPr>
          <w:i/>
        </w:rPr>
        <w:t>Biochemistry Journal, </w:t>
      </w:r>
      <w:r>
        <w:rPr/>
        <w:t>314: 877-880.</w:t>
      </w:r>
    </w:p>
    <w:p>
      <w:pPr>
        <w:pStyle w:val="BodyText"/>
        <w:spacing w:before="11"/>
      </w:pPr>
    </w:p>
    <w:p>
      <w:pPr>
        <w:pStyle w:val="BodyText"/>
        <w:ind w:left="665"/>
      </w:pPr>
      <w:r>
        <w:rPr/>
        <w:t>Lister,</w:t>
      </w:r>
      <w:r>
        <w:rPr>
          <w:spacing w:val="28"/>
        </w:rPr>
        <w:t>  </w:t>
      </w:r>
      <w:r>
        <w:rPr/>
        <w:t>R.G.</w:t>
      </w:r>
      <w:r>
        <w:rPr>
          <w:spacing w:val="28"/>
        </w:rPr>
        <w:t>  </w:t>
      </w:r>
      <w:r>
        <w:rPr/>
        <w:t>(1987).</w:t>
      </w:r>
      <w:r>
        <w:rPr>
          <w:spacing w:val="29"/>
        </w:rPr>
        <w:t>  </w:t>
      </w:r>
      <w:r>
        <w:rPr/>
        <w:t>The</w:t>
      </w:r>
      <w:r>
        <w:rPr>
          <w:spacing w:val="79"/>
          <w:w w:val="150"/>
        </w:rPr>
        <w:t> </w:t>
      </w:r>
      <w:r>
        <w:rPr/>
        <w:t>use</w:t>
      </w:r>
      <w:r>
        <w:rPr>
          <w:spacing w:val="28"/>
        </w:rPr>
        <w:t>  </w:t>
      </w:r>
      <w:r>
        <w:rPr/>
        <w:t>of</w:t>
      </w:r>
      <w:r>
        <w:rPr>
          <w:spacing w:val="75"/>
          <w:w w:val="150"/>
        </w:rPr>
        <w:t> </w:t>
      </w:r>
      <w:r>
        <w:rPr/>
        <w:t>plus-maze</w:t>
      </w:r>
      <w:r>
        <w:rPr>
          <w:spacing w:val="28"/>
        </w:rPr>
        <w:t>  </w:t>
      </w:r>
      <w:r>
        <w:rPr/>
        <w:t>to</w:t>
      </w:r>
      <w:r>
        <w:rPr>
          <w:spacing w:val="29"/>
        </w:rPr>
        <w:t>  </w:t>
      </w:r>
      <w:r>
        <w:rPr/>
        <w:t>measure</w:t>
      </w:r>
      <w:r>
        <w:rPr>
          <w:spacing w:val="79"/>
          <w:w w:val="150"/>
        </w:rPr>
        <w:t> </w:t>
      </w:r>
      <w:r>
        <w:rPr/>
        <w:t>anxiety</w:t>
      </w:r>
      <w:r>
        <w:rPr>
          <w:spacing w:val="76"/>
          <w:w w:val="150"/>
        </w:rPr>
        <w:t> </w:t>
      </w:r>
      <w:r>
        <w:rPr/>
        <w:t>in</w:t>
      </w:r>
      <w:r>
        <w:rPr>
          <w:spacing w:val="76"/>
          <w:w w:val="150"/>
        </w:rPr>
        <w:t> </w:t>
      </w:r>
      <w:r>
        <w:rPr/>
        <w:t>the</w:t>
      </w:r>
      <w:r>
        <w:rPr>
          <w:spacing w:val="28"/>
        </w:rPr>
        <w:t>  </w:t>
      </w:r>
      <w:r>
        <w:rPr>
          <w:spacing w:val="-2"/>
        </w:rPr>
        <w:t>mouse.</w:t>
      </w:r>
    </w:p>
    <w:p>
      <w:pPr>
        <w:spacing w:before="11"/>
        <w:ind w:left="1342" w:right="0" w:firstLine="0"/>
        <w:jc w:val="left"/>
        <w:rPr>
          <w:sz w:val="22"/>
        </w:rPr>
      </w:pPr>
      <w:r>
        <w:rPr>
          <w:i/>
          <w:sz w:val="22"/>
        </w:rPr>
        <w:t>Sychopharmacology</w:t>
      </w:r>
      <w:r>
        <w:rPr>
          <w:sz w:val="22"/>
        </w:rPr>
        <w:t>,</w:t>
      </w:r>
      <w:r>
        <w:rPr>
          <w:spacing w:val="17"/>
          <w:sz w:val="22"/>
        </w:rPr>
        <w:t> </w:t>
      </w:r>
      <w:r>
        <w:rPr>
          <w:sz w:val="22"/>
        </w:rPr>
        <w:t>92:</w:t>
      </w:r>
      <w:r>
        <w:rPr>
          <w:spacing w:val="29"/>
          <w:sz w:val="22"/>
        </w:rPr>
        <w:t> </w:t>
      </w:r>
      <w:r>
        <w:rPr>
          <w:sz w:val="22"/>
        </w:rPr>
        <w:t>180-</w:t>
      </w:r>
      <w:r>
        <w:rPr>
          <w:spacing w:val="-4"/>
          <w:sz w:val="22"/>
        </w:rPr>
        <w:t>185.</w:t>
      </w:r>
    </w:p>
    <w:p>
      <w:pPr>
        <w:pStyle w:val="BodyText"/>
        <w:spacing w:before="12"/>
      </w:pPr>
    </w:p>
    <w:p>
      <w:pPr>
        <w:spacing w:line="244" w:lineRule="auto" w:before="0"/>
        <w:ind w:left="1342" w:right="896" w:hanging="677"/>
        <w:jc w:val="both"/>
        <w:rPr>
          <w:sz w:val="22"/>
        </w:rPr>
      </w:pPr>
      <w:r>
        <w:rPr>
          <w:sz w:val="22"/>
        </w:rPr>
        <w:t>Lindell, K. and Weaver, L.K. (2007). Carbon monoxide poisoning, risk factors for cognitive sequaelae and the role of hyperbaric oxygen. </w:t>
      </w:r>
      <w:r>
        <w:rPr>
          <w:i/>
          <w:sz w:val="22"/>
        </w:rPr>
        <w:t>American Journal of Respiratory and Critical care medicine</w:t>
      </w:r>
      <w:r>
        <w:rPr>
          <w:sz w:val="22"/>
        </w:rPr>
        <w:t>, 176.</w:t>
      </w:r>
    </w:p>
    <w:p>
      <w:pPr>
        <w:pStyle w:val="BodyText"/>
        <w:spacing w:before="10"/>
      </w:pPr>
    </w:p>
    <w:p>
      <w:pPr>
        <w:pStyle w:val="BodyText"/>
        <w:spacing w:line="244" w:lineRule="auto"/>
        <w:ind w:left="1342" w:right="896" w:hanging="677"/>
        <w:jc w:val="both"/>
      </w:pPr>
      <w:r>
        <w:rPr/>
        <w:t>Luperchio,</w:t>
      </w:r>
      <w:r>
        <w:rPr>
          <w:spacing w:val="40"/>
        </w:rPr>
        <w:t> </w:t>
      </w:r>
      <w:r>
        <w:rPr/>
        <w:t>S.,</w:t>
      </w:r>
      <w:r>
        <w:rPr>
          <w:spacing w:val="40"/>
        </w:rPr>
        <w:t> </w:t>
      </w:r>
      <w:r>
        <w:rPr/>
        <w:t>Tamir,</w:t>
      </w:r>
      <w:r>
        <w:rPr>
          <w:spacing w:val="40"/>
        </w:rPr>
        <w:t> </w:t>
      </w:r>
      <w:r>
        <w:rPr/>
        <w:t>S.</w:t>
      </w:r>
      <w:r>
        <w:rPr>
          <w:spacing w:val="40"/>
        </w:rPr>
        <w:t> </w:t>
      </w:r>
      <w:r>
        <w:rPr/>
        <w:t>and</w:t>
      </w:r>
      <w:r>
        <w:rPr>
          <w:spacing w:val="40"/>
        </w:rPr>
        <w:t> </w:t>
      </w:r>
      <w:r>
        <w:rPr/>
        <w:t>Tannenbaum,</w:t>
      </w:r>
      <w:r>
        <w:rPr>
          <w:spacing w:val="40"/>
        </w:rPr>
        <w:t> </w:t>
      </w:r>
      <w:r>
        <w:rPr/>
        <w:t>S.R.</w:t>
      </w:r>
      <w:r>
        <w:rPr>
          <w:spacing w:val="40"/>
        </w:rPr>
        <w:t> </w:t>
      </w:r>
      <w:r>
        <w:rPr/>
        <w:t>(1996).</w:t>
      </w:r>
      <w:r>
        <w:rPr>
          <w:spacing w:val="40"/>
        </w:rPr>
        <w:t> </w:t>
      </w:r>
      <w:r>
        <w:rPr/>
        <w:t>NO-induced</w:t>
      </w:r>
      <w:r>
        <w:rPr>
          <w:spacing w:val="40"/>
        </w:rPr>
        <w:t> </w:t>
      </w:r>
      <w:r>
        <w:rPr/>
        <w:t>oxidative</w:t>
      </w:r>
      <w:r>
        <w:rPr>
          <w:spacing w:val="40"/>
        </w:rPr>
        <w:t> </w:t>
      </w:r>
      <w:r>
        <w:rPr/>
        <w:t>stress and glutathione metabolism in rodent and human cells. </w:t>
      </w:r>
      <w:r>
        <w:rPr>
          <w:i/>
        </w:rPr>
        <w:t>Free Radical Biology Medicine, </w:t>
      </w:r>
      <w:r>
        <w:rPr/>
        <w:t>21: 513-519.</w:t>
      </w:r>
    </w:p>
    <w:p>
      <w:pPr>
        <w:pStyle w:val="BodyText"/>
        <w:spacing w:before="10"/>
      </w:pPr>
    </w:p>
    <w:p>
      <w:pPr>
        <w:pStyle w:val="BodyText"/>
        <w:spacing w:line="244" w:lineRule="auto"/>
        <w:ind w:left="1342" w:right="902" w:hanging="677"/>
        <w:jc w:val="both"/>
      </w:pPr>
      <w:r>
        <w:rPr/>
        <w:t>Lo,C., Chen, S., Lee, K., Chen, W., Chen, C., Hsueh, C. and Huang, G. (2007). Brain Injury After Acute Carbon Monoxide Poisoning: Early and Late Complications. </w:t>
      </w:r>
      <w:r>
        <w:rPr>
          <w:i/>
        </w:rPr>
        <w:t>American Journal of Radiology</w:t>
      </w:r>
      <w:r>
        <w:rPr/>
        <w:t>, 189.</w:t>
      </w:r>
    </w:p>
    <w:p>
      <w:pPr>
        <w:pStyle w:val="BodyText"/>
        <w:spacing w:before="9"/>
      </w:pPr>
    </w:p>
    <w:p>
      <w:pPr>
        <w:pStyle w:val="BodyText"/>
        <w:spacing w:line="244" w:lineRule="auto"/>
        <w:ind w:left="1342" w:right="897" w:hanging="677"/>
        <w:jc w:val="both"/>
      </w:pPr>
      <w:r>
        <w:rPr/>
        <w:t>Longo, Lapresle J. and Fardeau M., (1967). The central Nervous system and Carbon monoxide poisoning II. Anatomical study of brain lesions following intoxication with</w:t>
      </w:r>
      <w:r>
        <w:rPr>
          <w:spacing w:val="40"/>
        </w:rPr>
        <w:t> </w:t>
      </w:r>
      <w:r>
        <w:rPr/>
        <w:t>Carbon</w:t>
      </w:r>
      <w:r>
        <w:rPr>
          <w:spacing w:val="40"/>
        </w:rPr>
        <w:t> </w:t>
      </w:r>
      <w:r>
        <w:rPr/>
        <w:t>monoxide</w:t>
      </w:r>
      <w:r>
        <w:rPr>
          <w:spacing w:val="40"/>
        </w:rPr>
        <w:t> </w:t>
      </w:r>
      <w:r>
        <w:rPr/>
        <w:t>(22</w:t>
      </w:r>
      <w:r>
        <w:rPr>
          <w:spacing w:val="40"/>
        </w:rPr>
        <w:t> </w:t>
      </w:r>
      <w:r>
        <w:rPr/>
        <w:t>cases).</w:t>
      </w:r>
      <w:r>
        <w:rPr>
          <w:spacing w:val="40"/>
        </w:rPr>
        <w:t> </w:t>
      </w:r>
      <w:r>
        <w:rPr/>
        <w:t>In:</w:t>
      </w:r>
      <w:r>
        <w:rPr>
          <w:spacing w:val="40"/>
        </w:rPr>
        <w:t> </w:t>
      </w:r>
      <w:r>
        <w:rPr/>
        <w:t>Bour,</w:t>
      </w:r>
      <w:r>
        <w:rPr>
          <w:spacing w:val="40"/>
        </w:rPr>
        <w:t> </w:t>
      </w:r>
      <w:r>
        <w:rPr/>
        <w:t>H.</w:t>
      </w:r>
      <w:r>
        <w:rPr>
          <w:spacing w:val="40"/>
        </w:rPr>
        <w:t> </w:t>
      </w:r>
      <w:r>
        <w:rPr/>
        <w:t>and</w:t>
      </w:r>
      <w:r>
        <w:rPr>
          <w:spacing w:val="40"/>
        </w:rPr>
        <w:t> </w:t>
      </w:r>
      <w:r>
        <w:rPr/>
        <w:t>ledingham,</w:t>
      </w:r>
      <w:r>
        <w:rPr>
          <w:spacing w:val="40"/>
        </w:rPr>
        <w:t> </w:t>
      </w:r>
      <w:r>
        <w:rPr/>
        <w:t>I.M.</w:t>
      </w:r>
      <w:r>
        <w:rPr>
          <w:spacing w:val="40"/>
        </w:rPr>
        <w:t> </w:t>
      </w:r>
      <w:r>
        <w:rPr/>
        <w:t>(Ed) </w:t>
      </w:r>
      <w:r>
        <w:rPr>
          <w:i/>
        </w:rPr>
        <w:t>Carbon monoxide poisoning. </w:t>
      </w:r>
      <w:r>
        <w:rPr/>
        <w:t>Progress in Brain Research, Elsevier Vol.24, P. 31- </w:t>
      </w:r>
      <w:r>
        <w:rPr>
          <w:spacing w:val="-4"/>
        </w:rPr>
        <w:t>74.</w:t>
      </w:r>
    </w:p>
    <w:p>
      <w:pPr>
        <w:pStyle w:val="BodyText"/>
        <w:spacing w:before="17"/>
      </w:pPr>
    </w:p>
    <w:p>
      <w:pPr>
        <w:spacing w:line="244" w:lineRule="auto" w:before="0"/>
        <w:ind w:left="1342" w:right="895" w:hanging="677"/>
        <w:jc w:val="both"/>
        <w:rPr>
          <w:sz w:val="22"/>
        </w:rPr>
      </w:pPr>
      <w:r>
        <w:rPr>
          <w:sz w:val="22"/>
        </w:rPr>
        <w:t>Longo, L.D. (1977). The biological effects of carbon monoxide on the pregnant woman, fetus, and newborn infant. </w:t>
      </w:r>
      <w:r>
        <w:rPr>
          <w:i/>
          <w:sz w:val="22"/>
        </w:rPr>
        <w:t>American journal of obstetrics and gynecology</w:t>
      </w:r>
      <w:r>
        <w:rPr>
          <w:sz w:val="22"/>
        </w:rPr>
        <w:t>, 129: </w:t>
      </w:r>
      <w:r>
        <w:rPr>
          <w:spacing w:val="-2"/>
          <w:sz w:val="22"/>
        </w:rPr>
        <w:t>69–103.</w:t>
      </w:r>
    </w:p>
    <w:p>
      <w:pPr>
        <w:pStyle w:val="BodyText"/>
        <w:spacing w:before="10"/>
      </w:pPr>
    </w:p>
    <w:p>
      <w:pPr>
        <w:pStyle w:val="BodyText"/>
        <w:spacing w:line="244" w:lineRule="auto"/>
        <w:ind w:left="1342" w:right="895" w:hanging="677"/>
        <w:jc w:val="both"/>
      </w:pPr>
      <w:r>
        <w:rPr/>
        <w:t>Lopez,</w:t>
      </w:r>
      <w:r>
        <w:rPr>
          <w:spacing w:val="40"/>
        </w:rPr>
        <w:t> </w:t>
      </w:r>
      <w:r>
        <w:rPr/>
        <w:t>I.A.,</w:t>
      </w:r>
      <w:r>
        <w:rPr>
          <w:spacing w:val="40"/>
        </w:rPr>
        <w:t> </w:t>
      </w:r>
      <w:r>
        <w:rPr/>
        <w:t>Acuna,</w:t>
      </w:r>
      <w:r>
        <w:rPr>
          <w:spacing w:val="40"/>
        </w:rPr>
        <w:t> </w:t>
      </w:r>
      <w:r>
        <w:rPr/>
        <w:t>D.,</w:t>
      </w:r>
      <w:r>
        <w:rPr>
          <w:spacing w:val="40"/>
        </w:rPr>
        <w:t> </w:t>
      </w:r>
      <w:r>
        <w:rPr/>
        <w:t>Beltran-Parrazal,</w:t>
      </w:r>
      <w:r>
        <w:rPr>
          <w:spacing w:val="40"/>
        </w:rPr>
        <w:t> </w:t>
      </w:r>
      <w:r>
        <w:rPr/>
        <w:t>L.,</w:t>
      </w:r>
      <w:r>
        <w:rPr>
          <w:spacing w:val="40"/>
        </w:rPr>
        <w:t> </w:t>
      </w:r>
      <w:r>
        <w:rPr/>
        <w:t>Espinosa-Jeffrey,</w:t>
      </w:r>
      <w:r>
        <w:rPr>
          <w:spacing w:val="40"/>
        </w:rPr>
        <w:t> </w:t>
      </w:r>
      <w:r>
        <w:rPr/>
        <w:t>A.</w:t>
      </w:r>
      <w:r>
        <w:rPr>
          <w:spacing w:val="40"/>
        </w:rPr>
        <w:t> </w:t>
      </w:r>
      <w:r>
        <w:rPr/>
        <w:t>and</w:t>
      </w:r>
      <w:r>
        <w:rPr>
          <w:spacing w:val="40"/>
        </w:rPr>
        <w:t> </w:t>
      </w:r>
      <w:r>
        <w:rPr/>
        <w:t>Edmond,</w:t>
      </w:r>
      <w:r>
        <w:rPr>
          <w:spacing w:val="40"/>
        </w:rPr>
        <w:t> </w:t>
      </w:r>
      <w:r>
        <w:rPr/>
        <w:t>J. (2008). Oxidative stress and deleterious consequences to the rat cochlea after prenatal chronic mild exposure to carbon monoxide in air. </w:t>
      </w:r>
      <w:r>
        <w:rPr>
          <w:i/>
        </w:rPr>
        <w:t>Neuroscience, </w:t>
      </w:r>
      <w:r>
        <w:rPr/>
        <w:t>151(3): </w:t>
      </w:r>
      <w:r>
        <w:rPr>
          <w:spacing w:val="-2"/>
        </w:rPr>
        <w:t>854-867.</w:t>
      </w:r>
    </w:p>
    <w:p>
      <w:pPr>
        <w:pStyle w:val="BodyText"/>
        <w:spacing w:before="11"/>
      </w:pPr>
    </w:p>
    <w:p>
      <w:pPr>
        <w:pStyle w:val="BodyText"/>
        <w:spacing w:line="244" w:lineRule="auto"/>
        <w:ind w:left="1342" w:right="899" w:hanging="677"/>
        <w:jc w:val="both"/>
      </w:pPr>
      <w:r>
        <w:rPr/>
        <w:t>Lopez, I.A., Acuna, D., Beltran-Parrazal, L., Lopez, I.E., Amarmani, A., Cortes, M. and Edmond,</w:t>
      </w:r>
      <w:r>
        <w:rPr>
          <w:spacing w:val="34"/>
        </w:rPr>
        <w:t> </w:t>
      </w:r>
      <w:r>
        <w:rPr/>
        <w:t>J.</w:t>
      </w:r>
      <w:r>
        <w:rPr>
          <w:spacing w:val="40"/>
        </w:rPr>
        <w:t> </w:t>
      </w:r>
      <w:r>
        <w:rPr/>
        <w:t>(2009).</w:t>
      </w:r>
      <w:r>
        <w:rPr>
          <w:spacing w:val="34"/>
        </w:rPr>
        <w:t> </w:t>
      </w:r>
      <w:r>
        <w:rPr/>
        <w:t>Evidence</w:t>
      </w:r>
      <w:r>
        <w:rPr>
          <w:spacing w:val="40"/>
        </w:rPr>
        <w:t> </w:t>
      </w:r>
      <w:r>
        <w:rPr/>
        <w:t>for</w:t>
      </w:r>
      <w:r>
        <w:rPr>
          <w:spacing w:val="35"/>
        </w:rPr>
        <w:t> </w:t>
      </w:r>
      <w:r>
        <w:rPr/>
        <w:t>oxidative</w:t>
      </w:r>
      <w:r>
        <w:rPr>
          <w:spacing w:val="40"/>
        </w:rPr>
        <w:t> </w:t>
      </w:r>
      <w:r>
        <w:rPr/>
        <w:t>stress</w:t>
      </w:r>
      <w:r>
        <w:rPr>
          <w:spacing w:val="40"/>
        </w:rPr>
        <w:t> </w:t>
      </w:r>
      <w:r>
        <w:rPr/>
        <w:t>in</w:t>
      </w:r>
      <w:r>
        <w:rPr>
          <w:spacing w:val="30"/>
        </w:rPr>
        <w:t> </w:t>
      </w:r>
      <w:r>
        <w:rPr/>
        <w:t>the</w:t>
      </w:r>
      <w:r>
        <w:rPr>
          <w:spacing w:val="40"/>
        </w:rPr>
        <w:t> </w:t>
      </w:r>
      <w:r>
        <w:rPr/>
        <w:t>developing</w:t>
      </w:r>
      <w:r>
        <w:rPr>
          <w:spacing w:val="30"/>
        </w:rPr>
        <w:t> </w:t>
      </w:r>
      <w:r>
        <w:rPr/>
        <w:t>cerebellum of the rat after</w:t>
      </w:r>
      <w:r>
        <w:rPr>
          <w:spacing w:val="40"/>
        </w:rPr>
        <w:t> </w:t>
      </w:r>
      <w:r>
        <w:rPr/>
        <w:t>chronic</w:t>
      </w:r>
      <w:r>
        <w:rPr>
          <w:spacing w:val="40"/>
        </w:rPr>
        <w:t> </w:t>
      </w:r>
      <w:r>
        <w:rPr/>
        <w:t>carbon monoxide</w:t>
      </w:r>
      <w:r>
        <w:rPr>
          <w:spacing w:val="40"/>
        </w:rPr>
        <w:t> </w:t>
      </w:r>
      <w:r>
        <w:rPr/>
        <w:t>exposure</w:t>
      </w:r>
      <w:r>
        <w:rPr>
          <w:spacing w:val="40"/>
        </w:rPr>
        <w:t> </w:t>
      </w:r>
      <w:r>
        <w:rPr/>
        <w:t>(0.0025% in air). </w:t>
      </w:r>
      <w:r>
        <w:rPr>
          <w:i/>
        </w:rPr>
        <w:t>Neuroscience, </w:t>
      </w:r>
      <w:r>
        <w:rPr/>
        <w:t>10: 53.</w:t>
      </w:r>
    </w:p>
    <w:p>
      <w:pPr>
        <w:pStyle w:val="BodyText"/>
        <w:spacing w:before="11"/>
      </w:pPr>
    </w:p>
    <w:p>
      <w:pPr>
        <w:spacing w:line="244" w:lineRule="auto" w:before="0"/>
        <w:ind w:left="1342" w:right="895" w:hanging="677"/>
        <w:jc w:val="both"/>
        <w:rPr>
          <w:sz w:val="22"/>
        </w:rPr>
      </w:pPr>
      <w:r>
        <w:rPr>
          <w:sz w:val="22"/>
        </w:rPr>
        <w:t>MacMillan,</w:t>
      </w:r>
      <w:r>
        <w:rPr>
          <w:spacing w:val="40"/>
          <w:sz w:val="22"/>
        </w:rPr>
        <w:t> </w:t>
      </w:r>
      <w:r>
        <w:rPr>
          <w:sz w:val="22"/>
        </w:rPr>
        <w:t>V.</w:t>
      </w:r>
      <w:r>
        <w:rPr>
          <w:spacing w:val="40"/>
          <w:sz w:val="22"/>
        </w:rPr>
        <w:t> </w:t>
      </w:r>
      <w:r>
        <w:rPr>
          <w:sz w:val="22"/>
        </w:rPr>
        <w:t>(1975).</w:t>
      </w:r>
      <w:r>
        <w:rPr>
          <w:spacing w:val="40"/>
          <w:sz w:val="22"/>
        </w:rPr>
        <w:t> </w:t>
      </w:r>
      <w:r>
        <w:rPr>
          <w:sz w:val="22"/>
        </w:rPr>
        <w:t>Regional</w:t>
      </w:r>
      <w:r>
        <w:rPr>
          <w:spacing w:val="40"/>
          <w:sz w:val="22"/>
        </w:rPr>
        <w:t> </w:t>
      </w:r>
      <w:r>
        <w:rPr>
          <w:sz w:val="22"/>
        </w:rPr>
        <w:t>cerebral</w:t>
      </w:r>
      <w:r>
        <w:rPr>
          <w:spacing w:val="40"/>
          <w:sz w:val="22"/>
        </w:rPr>
        <w:t> </w:t>
      </w:r>
      <w:r>
        <w:rPr>
          <w:sz w:val="22"/>
        </w:rPr>
        <w:t>blood</w:t>
      </w:r>
      <w:r>
        <w:rPr>
          <w:spacing w:val="40"/>
          <w:sz w:val="22"/>
        </w:rPr>
        <w:t> </w:t>
      </w:r>
      <w:r>
        <w:rPr>
          <w:sz w:val="22"/>
        </w:rPr>
        <w:t>flow</w:t>
      </w:r>
      <w:r>
        <w:rPr>
          <w:spacing w:val="40"/>
          <w:sz w:val="22"/>
        </w:rPr>
        <w:t> </w:t>
      </w:r>
      <w:r>
        <w:rPr>
          <w:sz w:val="22"/>
        </w:rPr>
        <w:t>of</w:t>
      </w:r>
      <w:r>
        <w:rPr>
          <w:spacing w:val="40"/>
          <w:sz w:val="22"/>
        </w:rPr>
        <w:t> </w:t>
      </w:r>
      <w:r>
        <w:rPr>
          <w:sz w:val="22"/>
        </w:rPr>
        <w:t>the</w:t>
      </w:r>
      <w:r>
        <w:rPr>
          <w:spacing w:val="40"/>
          <w:sz w:val="22"/>
        </w:rPr>
        <w:t> </w:t>
      </w:r>
      <w:r>
        <w:rPr>
          <w:sz w:val="22"/>
        </w:rPr>
        <w:t>rat</w:t>
      </w:r>
      <w:r>
        <w:rPr>
          <w:spacing w:val="40"/>
          <w:sz w:val="22"/>
        </w:rPr>
        <w:t> </w:t>
      </w:r>
      <w:r>
        <w:rPr>
          <w:sz w:val="22"/>
        </w:rPr>
        <w:t>in</w:t>
      </w:r>
      <w:r>
        <w:rPr>
          <w:spacing w:val="40"/>
          <w:sz w:val="22"/>
        </w:rPr>
        <w:t> </w:t>
      </w:r>
      <w:r>
        <w:rPr>
          <w:sz w:val="22"/>
        </w:rPr>
        <w:t>acute</w:t>
      </w:r>
      <w:r>
        <w:rPr>
          <w:spacing w:val="40"/>
          <w:sz w:val="22"/>
        </w:rPr>
        <w:t> </w:t>
      </w:r>
      <w:r>
        <w:rPr>
          <w:sz w:val="22"/>
        </w:rPr>
        <w:t>carbon monoxide intoxication. </w:t>
      </w:r>
      <w:r>
        <w:rPr>
          <w:i/>
          <w:sz w:val="22"/>
        </w:rPr>
        <w:t>Canadian Journal of Physiology and Pharmacology, </w:t>
      </w:r>
      <w:r>
        <w:rPr>
          <w:sz w:val="22"/>
        </w:rPr>
        <w:t>53: </w:t>
      </w:r>
      <w:r>
        <w:rPr>
          <w:spacing w:val="-2"/>
          <w:sz w:val="22"/>
        </w:rPr>
        <w:t>644-650.</w:t>
      </w:r>
    </w:p>
    <w:p>
      <w:pPr>
        <w:spacing w:after="0" w:line="244" w:lineRule="auto"/>
        <w:jc w:val="both"/>
        <w:rPr>
          <w:sz w:val="22"/>
        </w:rPr>
        <w:sectPr>
          <w:pgSz w:w="12240" w:h="15840"/>
          <w:pgMar w:header="0" w:footer="916" w:top="1520" w:bottom="1100" w:left="1720" w:right="960"/>
        </w:sectPr>
      </w:pPr>
    </w:p>
    <w:p>
      <w:pPr>
        <w:pStyle w:val="BodyText"/>
        <w:spacing w:line="244" w:lineRule="auto" w:before="75"/>
        <w:ind w:left="1342" w:right="902" w:hanging="677"/>
        <w:jc w:val="both"/>
      </w:pPr>
      <w:r>
        <w:rPr/>
        <w:t>Maines,</w:t>
      </w:r>
      <w:r>
        <w:rPr>
          <w:spacing w:val="37"/>
        </w:rPr>
        <w:t> </w:t>
      </w:r>
      <w:r>
        <w:rPr/>
        <w:t>M.D.,</w:t>
      </w:r>
      <w:r>
        <w:rPr>
          <w:spacing w:val="31"/>
        </w:rPr>
        <w:t> </w:t>
      </w:r>
      <w:r>
        <w:rPr/>
        <w:t>Mark,</w:t>
      </w:r>
      <w:r>
        <w:rPr>
          <w:spacing w:val="31"/>
        </w:rPr>
        <w:t> </w:t>
      </w:r>
      <w:r>
        <w:rPr/>
        <w:t>J.A.</w:t>
      </w:r>
      <w:r>
        <w:rPr>
          <w:spacing w:val="31"/>
        </w:rPr>
        <w:t> </w:t>
      </w:r>
      <w:r>
        <w:rPr/>
        <w:t>and</w:t>
      </w:r>
      <w:r>
        <w:rPr>
          <w:spacing w:val="28"/>
        </w:rPr>
        <w:t> </w:t>
      </w:r>
      <w:r>
        <w:rPr/>
        <w:t>Ewing,</w:t>
      </w:r>
      <w:r>
        <w:rPr>
          <w:spacing w:val="37"/>
        </w:rPr>
        <w:t> </w:t>
      </w:r>
      <w:r>
        <w:rPr/>
        <w:t>J.F.</w:t>
      </w:r>
      <w:r>
        <w:rPr>
          <w:spacing w:val="31"/>
        </w:rPr>
        <w:t> </w:t>
      </w:r>
      <w:r>
        <w:rPr/>
        <w:t>(1993).</w:t>
      </w:r>
      <w:r>
        <w:rPr>
          <w:spacing w:val="31"/>
        </w:rPr>
        <w:t> </w:t>
      </w:r>
      <w:r>
        <w:rPr/>
        <w:t>Heme</w:t>
      </w:r>
      <w:r>
        <w:rPr>
          <w:spacing w:val="26"/>
        </w:rPr>
        <w:t> </w:t>
      </w:r>
      <w:r>
        <w:rPr/>
        <w:t>oxygenase,</w:t>
      </w:r>
      <w:r>
        <w:rPr>
          <w:spacing w:val="31"/>
        </w:rPr>
        <w:t> </w:t>
      </w:r>
      <w:r>
        <w:rPr/>
        <w:t>a</w:t>
      </w:r>
      <w:r>
        <w:rPr>
          <w:spacing w:val="31"/>
        </w:rPr>
        <w:t> </w:t>
      </w:r>
      <w:r>
        <w:rPr/>
        <w:t>likely</w:t>
      </w:r>
      <w:r>
        <w:rPr>
          <w:spacing w:val="22"/>
        </w:rPr>
        <w:t> </w:t>
      </w:r>
      <w:r>
        <w:rPr/>
        <w:t>regulator of cGMP production in the brain: induction </w:t>
      </w:r>
      <w:r>
        <w:rPr>
          <w:i/>
        </w:rPr>
        <w:t>in vivo </w:t>
      </w:r>
      <w:r>
        <w:rPr/>
        <w:t>of HO-1 compensates for depression in NO synthase activity.</w:t>
      </w:r>
      <w:r>
        <w:rPr>
          <w:spacing w:val="40"/>
        </w:rPr>
        <w:t> </w:t>
      </w:r>
      <w:r>
        <w:rPr>
          <w:i/>
        </w:rPr>
        <w:t>Molecular Cell Neuroscience, </w:t>
      </w:r>
      <w:r>
        <w:rPr/>
        <w:t>4: 398-405.</w:t>
      </w:r>
    </w:p>
    <w:p>
      <w:pPr>
        <w:pStyle w:val="BodyText"/>
        <w:spacing w:before="10"/>
      </w:pPr>
    </w:p>
    <w:p>
      <w:pPr>
        <w:pStyle w:val="BodyText"/>
        <w:spacing w:line="244" w:lineRule="auto"/>
        <w:ind w:left="1342" w:right="906" w:hanging="677"/>
        <w:jc w:val="both"/>
      </w:pPr>
      <w:r>
        <w:rPr/>
        <w:t>Mannaioni,</w:t>
      </w:r>
      <w:r>
        <w:rPr>
          <w:spacing w:val="37"/>
        </w:rPr>
        <w:t> </w:t>
      </w:r>
      <w:r>
        <w:rPr/>
        <w:t>P.F.,</w:t>
      </w:r>
      <w:r>
        <w:rPr>
          <w:spacing w:val="40"/>
        </w:rPr>
        <w:t> </w:t>
      </w:r>
      <w:r>
        <w:rPr/>
        <w:t>Vannacci,</w:t>
      </w:r>
      <w:r>
        <w:rPr>
          <w:spacing w:val="40"/>
        </w:rPr>
        <w:t> </w:t>
      </w:r>
      <w:r>
        <w:rPr/>
        <w:t>A.</w:t>
      </w:r>
      <w:r>
        <w:rPr>
          <w:spacing w:val="40"/>
        </w:rPr>
        <w:t> </w:t>
      </w:r>
      <w:r>
        <w:rPr/>
        <w:t>and</w:t>
      </w:r>
      <w:r>
        <w:rPr>
          <w:spacing w:val="38"/>
        </w:rPr>
        <w:t> </w:t>
      </w:r>
      <w:r>
        <w:rPr/>
        <w:t>Masini,</w:t>
      </w:r>
      <w:r>
        <w:rPr>
          <w:spacing w:val="37"/>
        </w:rPr>
        <w:t> </w:t>
      </w:r>
      <w:r>
        <w:rPr/>
        <w:t>E.</w:t>
      </w:r>
      <w:r>
        <w:rPr>
          <w:spacing w:val="37"/>
        </w:rPr>
        <w:t> </w:t>
      </w:r>
      <w:r>
        <w:rPr/>
        <w:t>(2006).</w:t>
      </w:r>
      <w:r>
        <w:rPr>
          <w:spacing w:val="37"/>
        </w:rPr>
        <w:t> </w:t>
      </w:r>
      <w:r>
        <w:rPr/>
        <w:t>Carbon</w:t>
      </w:r>
      <w:r>
        <w:rPr>
          <w:spacing w:val="28"/>
        </w:rPr>
        <w:t> </w:t>
      </w:r>
      <w:r>
        <w:rPr/>
        <w:t>monoxide:</w:t>
      </w:r>
      <w:r>
        <w:rPr>
          <w:spacing w:val="36"/>
        </w:rPr>
        <w:t> </w:t>
      </w:r>
      <w:r>
        <w:rPr/>
        <w:t>the</w:t>
      </w:r>
      <w:r>
        <w:rPr>
          <w:spacing w:val="40"/>
        </w:rPr>
        <w:t> </w:t>
      </w:r>
      <w:r>
        <w:rPr/>
        <w:t>bad</w:t>
      </w:r>
      <w:r>
        <w:rPr>
          <w:spacing w:val="38"/>
        </w:rPr>
        <w:t> </w:t>
      </w:r>
      <w:r>
        <w:rPr/>
        <w:t>and the good side of the coin, from neuronal death to anti-inflammatory activity. </w:t>
      </w:r>
      <w:r>
        <w:rPr>
          <w:i/>
        </w:rPr>
        <w:t>Inflammation Research, </w:t>
      </w:r>
      <w:r>
        <w:rPr/>
        <w:t>55: 261-73.</w:t>
      </w:r>
    </w:p>
    <w:p>
      <w:pPr>
        <w:pStyle w:val="BodyText"/>
        <w:spacing w:before="9"/>
      </w:pPr>
    </w:p>
    <w:p>
      <w:pPr>
        <w:pStyle w:val="BodyText"/>
        <w:spacing w:line="244" w:lineRule="auto" w:before="1"/>
        <w:ind w:left="1342" w:right="891" w:hanging="677"/>
        <w:jc w:val="both"/>
      </w:pPr>
      <w:r>
        <w:rPr/>
        <w:t>Mascalchi,</w:t>
      </w:r>
      <w:r>
        <w:rPr>
          <w:spacing w:val="40"/>
        </w:rPr>
        <w:t> </w:t>
      </w:r>
      <w:r>
        <w:rPr/>
        <w:t>M.,</w:t>
      </w:r>
      <w:r>
        <w:rPr>
          <w:spacing w:val="40"/>
        </w:rPr>
        <w:t> </w:t>
      </w:r>
      <w:r>
        <w:rPr/>
        <w:t>Petruzi,</w:t>
      </w:r>
      <w:r>
        <w:rPr>
          <w:spacing w:val="40"/>
        </w:rPr>
        <w:t> </w:t>
      </w:r>
      <w:r>
        <w:rPr/>
        <w:t>P.</w:t>
      </w:r>
      <w:r>
        <w:rPr>
          <w:spacing w:val="40"/>
        </w:rPr>
        <w:t> </w:t>
      </w:r>
      <w:r>
        <w:rPr/>
        <w:t>and</w:t>
      </w:r>
      <w:r>
        <w:rPr>
          <w:spacing w:val="40"/>
        </w:rPr>
        <w:t> </w:t>
      </w:r>
      <w:r>
        <w:rPr/>
        <w:t>Zampa,</w:t>
      </w:r>
      <w:r>
        <w:rPr>
          <w:spacing w:val="40"/>
        </w:rPr>
        <w:t> </w:t>
      </w:r>
      <w:r>
        <w:rPr/>
        <w:t>V.</w:t>
      </w:r>
      <w:r>
        <w:rPr>
          <w:spacing w:val="40"/>
        </w:rPr>
        <w:t> </w:t>
      </w:r>
      <w:r>
        <w:rPr/>
        <w:t>(1996).</w:t>
      </w:r>
      <w:r>
        <w:rPr>
          <w:spacing w:val="40"/>
        </w:rPr>
        <w:t> </w:t>
      </w:r>
      <w:r>
        <w:rPr/>
        <w:t>MRI</w:t>
      </w:r>
      <w:r>
        <w:rPr>
          <w:spacing w:val="40"/>
        </w:rPr>
        <w:t> </w:t>
      </w:r>
      <w:r>
        <w:rPr/>
        <w:t>of</w:t>
      </w:r>
      <w:r>
        <w:rPr>
          <w:spacing w:val="40"/>
        </w:rPr>
        <w:t> </w:t>
      </w:r>
      <w:r>
        <w:rPr/>
        <w:t>cerebellar</w:t>
      </w:r>
      <w:r>
        <w:rPr>
          <w:spacing w:val="40"/>
        </w:rPr>
        <w:t> </w:t>
      </w:r>
      <w:r>
        <w:rPr/>
        <w:t>white</w:t>
      </w:r>
      <w:r>
        <w:rPr>
          <w:spacing w:val="40"/>
        </w:rPr>
        <w:t> </w:t>
      </w:r>
      <w:r>
        <w:rPr/>
        <w:t>matter damage due to carbon monoxide poisoning: case report, </w:t>
      </w:r>
      <w:r>
        <w:rPr>
          <w:i/>
        </w:rPr>
        <w:t>Neuroradiology, </w:t>
      </w:r>
      <w:r>
        <w:rPr/>
        <w:t>38(1): </w:t>
      </w:r>
      <w:r>
        <w:rPr>
          <w:spacing w:val="-2"/>
        </w:rPr>
        <w:t>73-74.</w:t>
      </w:r>
    </w:p>
    <w:p>
      <w:pPr>
        <w:pStyle w:val="BodyText"/>
        <w:spacing w:before="9"/>
      </w:pPr>
    </w:p>
    <w:p>
      <w:pPr>
        <w:spacing w:line="244" w:lineRule="auto" w:before="0"/>
        <w:ind w:left="1342" w:right="894" w:hanging="677"/>
        <w:jc w:val="both"/>
        <w:rPr>
          <w:sz w:val="22"/>
        </w:rPr>
      </w:pPr>
      <w:r>
        <w:rPr>
          <w:sz w:val="22"/>
        </w:rPr>
        <w:t>Matsuoka, M., Igisu, H., Tanaka, I., Hori, H. and Koga, M. (1993). Brain energy metabolites in mice after an acute exposure to carbon monoxide. </w:t>
      </w:r>
      <w:r>
        <w:rPr>
          <w:i/>
          <w:sz w:val="22"/>
        </w:rPr>
        <w:t>Research Communication in Chemical Pathology and Pharmacology, </w:t>
      </w:r>
      <w:r>
        <w:rPr>
          <w:sz w:val="22"/>
        </w:rPr>
        <w:t>81: 15-20.</w:t>
      </w:r>
    </w:p>
    <w:p>
      <w:pPr>
        <w:pStyle w:val="BodyText"/>
        <w:spacing w:line="518" w:lineRule="exact" w:before="54"/>
        <w:ind w:left="665" w:right="896"/>
      </w:pPr>
      <w:r>
        <w:rPr/>
        <w:t>Mayer, H. (1999). Air pollution in cities. </w:t>
      </w:r>
      <w:r>
        <w:rPr>
          <w:i/>
        </w:rPr>
        <w:t>Atmospheric Environment</w:t>
      </w:r>
      <w:r>
        <w:rPr/>
        <w:t>, 33: 4029-4037. Meilin,</w:t>
      </w:r>
      <w:r>
        <w:rPr>
          <w:spacing w:val="48"/>
        </w:rPr>
        <w:t> </w:t>
      </w:r>
      <w:r>
        <w:rPr/>
        <w:t>S.,</w:t>
      </w:r>
      <w:r>
        <w:rPr>
          <w:spacing w:val="49"/>
        </w:rPr>
        <w:t> </w:t>
      </w:r>
      <w:r>
        <w:rPr/>
        <w:t>Rogatsky,</w:t>
      </w:r>
      <w:r>
        <w:rPr>
          <w:spacing w:val="54"/>
        </w:rPr>
        <w:t> </w:t>
      </w:r>
      <w:r>
        <w:rPr/>
        <w:t>G.G.,</w:t>
      </w:r>
      <w:r>
        <w:rPr>
          <w:spacing w:val="49"/>
        </w:rPr>
        <w:t> </w:t>
      </w:r>
      <w:r>
        <w:rPr/>
        <w:t>Thom,</w:t>
      </w:r>
      <w:r>
        <w:rPr>
          <w:spacing w:val="49"/>
        </w:rPr>
        <w:t> </w:t>
      </w:r>
      <w:r>
        <w:rPr/>
        <w:t>S.R.,</w:t>
      </w:r>
      <w:r>
        <w:rPr>
          <w:spacing w:val="48"/>
        </w:rPr>
        <w:t> </w:t>
      </w:r>
      <w:r>
        <w:rPr/>
        <w:t>Zarchin,</w:t>
      </w:r>
      <w:r>
        <w:rPr>
          <w:spacing w:val="49"/>
        </w:rPr>
        <w:t> </w:t>
      </w:r>
      <w:r>
        <w:rPr/>
        <w:t>N.,</w:t>
      </w:r>
      <w:r>
        <w:rPr>
          <w:spacing w:val="49"/>
        </w:rPr>
        <w:t> </w:t>
      </w:r>
      <w:r>
        <w:rPr/>
        <w:t>Guggenheimer-Furman,</w:t>
      </w:r>
      <w:r>
        <w:rPr>
          <w:spacing w:val="48"/>
        </w:rPr>
        <w:t> </w:t>
      </w:r>
      <w:r>
        <w:rPr/>
        <w:t>E.</w:t>
      </w:r>
      <w:r>
        <w:rPr>
          <w:spacing w:val="49"/>
        </w:rPr>
        <w:t> </w:t>
      </w:r>
      <w:r>
        <w:rPr>
          <w:spacing w:val="-5"/>
        </w:rPr>
        <w:t>and</w:t>
      </w:r>
    </w:p>
    <w:p>
      <w:pPr>
        <w:pStyle w:val="BodyText"/>
        <w:spacing w:line="208" w:lineRule="exact"/>
        <w:ind w:left="1342"/>
        <w:jc w:val="both"/>
      </w:pPr>
      <w:r>
        <w:rPr/>
        <w:t>Mayevsky,</w:t>
      </w:r>
      <w:r>
        <w:rPr>
          <w:spacing w:val="14"/>
        </w:rPr>
        <w:t> </w:t>
      </w:r>
      <w:r>
        <w:rPr/>
        <w:t>A.</w:t>
      </w:r>
      <w:r>
        <w:rPr>
          <w:spacing w:val="20"/>
        </w:rPr>
        <w:t> </w:t>
      </w:r>
      <w:r>
        <w:rPr/>
        <w:t>(1996).</w:t>
      </w:r>
      <w:r>
        <w:rPr>
          <w:spacing w:val="20"/>
        </w:rPr>
        <w:t> </w:t>
      </w:r>
      <w:r>
        <w:rPr/>
        <w:t>Effects</w:t>
      </w:r>
      <w:r>
        <w:rPr>
          <w:spacing w:val="12"/>
        </w:rPr>
        <w:t> </w:t>
      </w:r>
      <w:r>
        <w:rPr/>
        <w:t>of</w:t>
      </w:r>
      <w:r>
        <w:rPr>
          <w:spacing w:val="10"/>
        </w:rPr>
        <w:t> </w:t>
      </w:r>
      <w:r>
        <w:rPr/>
        <w:t>carbon</w:t>
      </w:r>
      <w:r>
        <w:rPr>
          <w:spacing w:val="4"/>
        </w:rPr>
        <w:t> </w:t>
      </w:r>
      <w:r>
        <w:rPr/>
        <w:t>monoxide</w:t>
      </w:r>
      <w:r>
        <w:rPr>
          <w:spacing w:val="15"/>
        </w:rPr>
        <w:t> </w:t>
      </w:r>
      <w:r>
        <w:rPr/>
        <w:t>on</w:t>
      </w:r>
      <w:r>
        <w:rPr>
          <w:spacing w:val="10"/>
        </w:rPr>
        <w:t> </w:t>
      </w:r>
      <w:r>
        <w:rPr/>
        <w:t>the</w:t>
      </w:r>
      <w:r>
        <w:rPr>
          <w:spacing w:val="9"/>
        </w:rPr>
        <w:t> </w:t>
      </w:r>
      <w:r>
        <w:rPr/>
        <w:t>brain</w:t>
      </w:r>
      <w:r>
        <w:rPr>
          <w:spacing w:val="10"/>
        </w:rPr>
        <w:t> </w:t>
      </w:r>
      <w:r>
        <w:rPr/>
        <w:t>may</w:t>
      </w:r>
      <w:r>
        <w:rPr>
          <w:spacing w:val="5"/>
        </w:rPr>
        <w:t> </w:t>
      </w:r>
      <w:r>
        <w:rPr/>
        <w:t>be</w:t>
      </w:r>
      <w:r>
        <w:rPr>
          <w:spacing w:val="14"/>
        </w:rPr>
        <w:t> </w:t>
      </w:r>
      <w:r>
        <w:rPr>
          <w:spacing w:val="-2"/>
        </w:rPr>
        <w:t>mediated</w:t>
      </w:r>
    </w:p>
    <w:p>
      <w:pPr>
        <w:spacing w:before="6"/>
        <w:ind w:left="1342" w:right="0" w:firstLine="0"/>
        <w:jc w:val="both"/>
        <w:rPr>
          <w:sz w:val="22"/>
        </w:rPr>
      </w:pPr>
      <w:r>
        <w:rPr>
          <w:sz w:val="22"/>
        </w:rPr>
        <w:t>by</w:t>
      </w:r>
      <w:r>
        <w:rPr>
          <w:spacing w:val="-7"/>
          <w:sz w:val="22"/>
        </w:rPr>
        <w:t> </w:t>
      </w:r>
      <w:r>
        <w:rPr>
          <w:sz w:val="22"/>
        </w:rPr>
        <w:t>nitric</w:t>
      </w:r>
      <w:r>
        <w:rPr>
          <w:spacing w:val="9"/>
          <w:sz w:val="22"/>
        </w:rPr>
        <w:t> </w:t>
      </w:r>
      <w:r>
        <w:rPr>
          <w:sz w:val="22"/>
        </w:rPr>
        <w:t>acid.</w:t>
      </w:r>
      <w:r>
        <w:rPr>
          <w:spacing w:val="23"/>
          <w:sz w:val="22"/>
        </w:rPr>
        <w:t> </w:t>
      </w:r>
      <w:r>
        <w:rPr>
          <w:i/>
          <w:sz w:val="22"/>
        </w:rPr>
        <w:t>Journal</w:t>
      </w:r>
      <w:r>
        <w:rPr>
          <w:i/>
          <w:spacing w:val="14"/>
          <w:sz w:val="22"/>
        </w:rPr>
        <w:t> </w:t>
      </w:r>
      <w:r>
        <w:rPr>
          <w:i/>
          <w:sz w:val="22"/>
        </w:rPr>
        <w:t>of</w:t>
      </w:r>
      <w:r>
        <w:rPr>
          <w:i/>
          <w:spacing w:val="14"/>
          <w:sz w:val="22"/>
        </w:rPr>
        <w:t> </w:t>
      </w:r>
      <w:r>
        <w:rPr>
          <w:i/>
          <w:sz w:val="22"/>
        </w:rPr>
        <w:t>Applied</w:t>
      </w:r>
      <w:r>
        <w:rPr>
          <w:i/>
          <w:spacing w:val="18"/>
          <w:sz w:val="22"/>
        </w:rPr>
        <w:t> </w:t>
      </w:r>
      <w:r>
        <w:rPr>
          <w:i/>
          <w:sz w:val="22"/>
        </w:rPr>
        <w:t>Physiology,</w:t>
      </w:r>
      <w:r>
        <w:rPr>
          <w:i/>
          <w:spacing w:val="11"/>
          <w:sz w:val="22"/>
        </w:rPr>
        <w:t> </w:t>
      </w:r>
      <w:r>
        <w:rPr>
          <w:sz w:val="22"/>
        </w:rPr>
        <w:t>81:</w:t>
      </w:r>
      <w:r>
        <w:rPr>
          <w:spacing w:val="8"/>
          <w:sz w:val="22"/>
        </w:rPr>
        <w:t> </w:t>
      </w:r>
      <w:r>
        <w:rPr>
          <w:sz w:val="22"/>
        </w:rPr>
        <w:t>1078-</w:t>
      </w:r>
      <w:r>
        <w:rPr>
          <w:spacing w:val="-2"/>
          <w:sz w:val="22"/>
        </w:rPr>
        <w:t>1083.</w:t>
      </w:r>
    </w:p>
    <w:p>
      <w:pPr>
        <w:pStyle w:val="BodyText"/>
        <w:spacing w:line="244" w:lineRule="auto" w:before="6"/>
        <w:ind w:left="1342" w:right="898" w:hanging="677"/>
        <w:jc w:val="both"/>
      </w:pPr>
      <w:r>
        <w:rPr/>
        <w:t>Mereu, G., Cammalleri, M., Fà, M., Francesconi, W., Saba, P., Tattoli, M., Trabace, L., Vaccari, A. and Cuomo, V. (2000). Prenatal exposure to a low concentration of carbon monoxide disrupts hippocampal long-term potentiation in rat offspring. </w:t>
      </w:r>
      <w:r>
        <w:rPr>
          <w:i/>
        </w:rPr>
        <w:t>Journal of Pharmacology and Experimental Therapeutics, </w:t>
      </w:r>
      <w:r>
        <w:rPr/>
        <w:t>294(2): 728-734.</w:t>
      </w:r>
    </w:p>
    <w:p>
      <w:pPr>
        <w:pStyle w:val="BodyText"/>
        <w:spacing w:before="11"/>
      </w:pPr>
    </w:p>
    <w:p>
      <w:pPr>
        <w:pStyle w:val="BodyText"/>
        <w:spacing w:line="244" w:lineRule="auto"/>
        <w:ind w:left="1342" w:right="903" w:hanging="677"/>
        <w:jc w:val="both"/>
      </w:pPr>
      <w:r>
        <w:rPr/>
        <w:t>Mimura, K., Harada, M. and Sumiyoshi, S. (1999). Long term follow-up study on</w:t>
      </w:r>
      <w:r>
        <w:rPr>
          <w:spacing w:val="40"/>
        </w:rPr>
        <w:t> </w:t>
      </w:r>
      <w:r>
        <w:rPr/>
        <w:t>sequelae of carbon monoxide poisoning; serial</w:t>
      </w:r>
      <w:r>
        <w:rPr>
          <w:spacing w:val="40"/>
        </w:rPr>
        <w:t> </w:t>
      </w:r>
      <w:r>
        <w:rPr/>
        <w:t>investigation 33 years after poisoning. </w:t>
      </w:r>
      <w:r>
        <w:rPr>
          <w:i/>
        </w:rPr>
        <w:t>Seishin Shinkeigaku Zasshi</w:t>
      </w:r>
      <w:r>
        <w:rPr/>
        <w:t>, 101: 592-618.</w:t>
      </w:r>
    </w:p>
    <w:p>
      <w:pPr>
        <w:pStyle w:val="BodyText"/>
        <w:spacing w:before="10"/>
      </w:pPr>
    </w:p>
    <w:p>
      <w:pPr>
        <w:spacing w:line="244" w:lineRule="auto" w:before="0"/>
        <w:ind w:left="1342" w:right="895" w:hanging="677"/>
        <w:jc w:val="both"/>
        <w:rPr>
          <w:sz w:val="22"/>
        </w:rPr>
      </w:pPr>
      <w:r>
        <w:rPr>
          <w:sz w:val="22"/>
        </w:rPr>
        <w:t>Mott,</w:t>
      </w:r>
      <w:r>
        <w:rPr>
          <w:spacing w:val="40"/>
          <w:sz w:val="22"/>
        </w:rPr>
        <w:t> </w:t>
      </w:r>
      <w:r>
        <w:rPr>
          <w:sz w:val="22"/>
        </w:rPr>
        <w:t>J.A.,</w:t>
      </w:r>
      <w:r>
        <w:rPr>
          <w:spacing w:val="40"/>
          <w:sz w:val="22"/>
        </w:rPr>
        <w:t> </w:t>
      </w:r>
      <w:r>
        <w:rPr>
          <w:sz w:val="22"/>
        </w:rPr>
        <w:t>Wolfe</w:t>
      </w:r>
      <w:r>
        <w:rPr>
          <w:spacing w:val="35"/>
          <w:sz w:val="22"/>
        </w:rPr>
        <w:t> </w:t>
      </w:r>
      <w:r>
        <w:rPr>
          <w:sz w:val="22"/>
        </w:rPr>
        <w:t>M.I.</w:t>
      </w:r>
      <w:r>
        <w:rPr>
          <w:spacing w:val="40"/>
          <w:sz w:val="22"/>
        </w:rPr>
        <w:t> </w:t>
      </w:r>
      <w:r>
        <w:rPr>
          <w:sz w:val="22"/>
        </w:rPr>
        <w:t>and</w:t>
      </w:r>
      <w:r>
        <w:rPr>
          <w:spacing w:val="40"/>
          <w:sz w:val="22"/>
        </w:rPr>
        <w:t> </w:t>
      </w:r>
      <w:r>
        <w:rPr>
          <w:sz w:val="22"/>
        </w:rPr>
        <w:t>Alverson,</w:t>
      </w:r>
      <w:r>
        <w:rPr>
          <w:spacing w:val="40"/>
          <w:sz w:val="22"/>
        </w:rPr>
        <w:t> </w:t>
      </w:r>
      <w:r>
        <w:rPr>
          <w:sz w:val="22"/>
        </w:rPr>
        <w:t>C.J.</w:t>
      </w:r>
      <w:r>
        <w:rPr>
          <w:spacing w:val="35"/>
          <w:sz w:val="22"/>
        </w:rPr>
        <w:t> </w:t>
      </w:r>
      <w:r>
        <w:rPr>
          <w:sz w:val="22"/>
        </w:rPr>
        <w:t>(2002).</w:t>
      </w:r>
      <w:r>
        <w:rPr>
          <w:spacing w:val="40"/>
          <w:sz w:val="22"/>
        </w:rPr>
        <w:t> </w:t>
      </w:r>
      <w:r>
        <w:rPr>
          <w:sz w:val="22"/>
        </w:rPr>
        <w:t>National</w:t>
      </w:r>
      <w:r>
        <w:rPr>
          <w:spacing w:val="34"/>
          <w:sz w:val="22"/>
        </w:rPr>
        <w:t> </w:t>
      </w:r>
      <w:r>
        <w:rPr>
          <w:sz w:val="22"/>
        </w:rPr>
        <w:t>vehicle</w:t>
      </w:r>
      <w:r>
        <w:rPr>
          <w:spacing w:val="35"/>
          <w:sz w:val="22"/>
        </w:rPr>
        <w:t> </w:t>
      </w:r>
      <w:r>
        <w:rPr>
          <w:sz w:val="22"/>
        </w:rPr>
        <w:t>emissions policies and practices and declining U.S. carbon monoxide-related mortality. </w:t>
      </w:r>
      <w:r>
        <w:rPr>
          <w:i/>
          <w:sz w:val="22"/>
        </w:rPr>
        <w:t>Journal of</w:t>
      </w:r>
      <w:r>
        <w:rPr>
          <w:i/>
          <w:spacing w:val="80"/>
          <w:sz w:val="22"/>
        </w:rPr>
        <w:t> </w:t>
      </w:r>
      <w:r>
        <w:rPr>
          <w:i/>
          <w:sz w:val="22"/>
        </w:rPr>
        <w:t>the American Medical Association</w:t>
      </w:r>
      <w:r>
        <w:rPr>
          <w:sz w:val="22"/>
        </w:rPr>
        <w:t>, 288: 988 –95.</w:t>
      </w:r>
    </w:p>
    <w:p>
      <w:pPr>
        <w:pStyle w:val="BodyText"/>
        <w:spacing w:before="9"/>
      </w:pPr>
    </w:p>
    <w:p>
      <w:pPr>
        <w:spacing w:line="247" w:lineRule="auto" w:before="1"/>
        <w:ind w:left="1342" w:right="895" w:hanging="677"/>
        <w:jc w:val="both"/>
        <w:rPr>
          <w:sz w:val="22"/>
        </w:rPr>
      </w:pPr>
      <w:r>
        <w:rPr>
          <w:sz w:val="22"/>
        </w:rPr>
        <w:t>Moore, S.J., Norris, J.C. and Walsh, D.A. (1987).</w:t>
      </w:r>
      <w:r>
        <w:rPr>
          <w:spacing w:val="40"/>
          <w:sz w:val="22"/>
        </w:rPr>
        <w:t> </w:t>
      </w:r>
      <w:r>
        <w:rPr>
          <w:sz w:val="22"/>
        </w:rPr>
        <w:t>Antidotal use of methemoglobin forming</w:t>
      </w:r>
      <w:r>
        <w:rPr>
          <w:spacing w:val="40"/>
          <w:sz w:val="22"/>
        </w:rPr>
        <w:t> </w:t>
      </w:r>
      <w:r>
        <w:rPr>
          <w:sz w:val="22"/>
        </w:rPr>
        <w:t>cyanide</w:t>
      </w:r>
      <w:r>
        <w:rPr>
          <w:spacing w:val="40"/>
          <w:sz w:val="22"/>
        </w:rPr>
        <w:t> </w:t>
      </w:r>
      <w:r>
        <w:rPr>
          <w:sz w:val="22"/>
        </w:rPr>
        <w:t>antagonists</w:t>
      </w:r>
      <w:r>
        <w:rPr>
          <w:spacing w:val="40"/>
          <w:sz w:val="22"/>
        </w:rPr>
        <w:t> </w:t>
      </w:r>
      <w:r>
        <w:rPr>
          <w:sz w:val="22"/>
        </w:rPr>
        <w:t>in</w:t>
      </w:r>
      <w:r>
        <w:rPr>
          <w:spacing w:val="40"/>
          <w:sz w:val="22"/>
        </w:rPr>
        <w:t> </w:t>
      </w:r>
      <w:r>
        <w:rPr>
          <w:sz w:val="22"/>
        </w:rPr>
        <w:t>concurrent</w:t>
      </w:r>
      <w:r>
        <w:rPr>
          <w:spacing w:val="40"/>
          <w:sz w:val="22"/>
        </w:rPr>
        <w:t> </w:t>
      </w:r>
      <w:r>
        <w:rPr>
          <w:sz w:val="22"/>
        </w:rPr>
        <w:t>carbon</w:t>
      </w:r>
      <w:r>
        <w:rPr>
          <w:spacing w:val="40"/>
          <w:sz w:val="22"/>
        </w:rPr>
        <w:t> </w:t>
      </w:r>
      <w:r>
        <w:rPr>
          <w:sz w:val="22"/>
        </w:rPr>
        <w:t>monoxide/cyanide intoxication. </w:t>
      </w:r>
      <w:r>
        <w:rPr>
          <w:i/>
          <w:sz w:val="22"/>
        </w:rPr>
        <w:t>Journal of Pharmacology and Experimental Therapeutics</w:t>
      </w:r>
      <w:r>
        <w:rPr>
          <w:sz w:val="22"/>
        </w:rPr>
        <w:t>, 242(1):</w:t>
      </w:r>
      <w:r>
        <w:rPr>
          <w:spacing w:val="40"/>
          <w:sz w:val="22"/>
        </w:rPr>
        <w:t> </w:t>
      </w:r>
      <w:r>
        <w:rPr>
          <w:spacing w:val="-2"/>
          <w:sz w:val="22"/>
        </w:rPr>
        <w:t>70-73.</w:t>
      </w:r>
    </w:p>
    <w:p>
      <w:pPr>
        <w:pStyle w:val="BodyText"/>
        <w:spacing w:before="5"/>
      </w:pPr>
    </w:p>
    <w:p>
      <w:pPr>
        <w:pStyle w:val="BodyText"/>
        <w:spacing w:line="244" w:lineRule="auto"/>
        <w:ind w:left="1342" w:right="906" w:hanging="677"/>
        <w:jc w:val="both"/>
      </w:pPr>
      <w:r>
        <w:rPr/>
        <w:t>Myrtill,</w:t>
      </w:r>
      <w:r>
        <w:rPr>
          <w:spacing w:val="30"/>
        </w:rPr>
        <w:t> </w:t>
      </w:r>
      <w:r>
        <w:rPr/>
        <w:t>S.,</w:t>
      </w:r>
      <w:r>
        <w:rPr>
          <w:spacing w:val="30"/>
        </w:rPr>
        <w:t> </w:t>
      </w:r>
      <w:r>
        <w:rPr/>
        <w:t>Ulrich,</w:t>
      </w:r>
      <w:r>
        <w:rPr>
          <w:spacing w:val="30"/>
        </w:rPr>
        <w:t> </w:t>
      </w:r>
      <w:r>
        <w:rPr/>
        <w:t>F.,</w:t>
      </w:r>
      <w:r>
        <w:rPr>
          <w:spacing w:val="30"/>
        </w:rPr>
        <w:t> </w:t>
      </w:r>
      <w:r>
        <w:rPr/>
        <w:t>André,</w:t>
      </w:r>
      <w:r>
        <w:rPr>
          <w:spacing w:val="30"/>
        </w:rPr>
        <w:t> </w:t>
      </w:r>
      <w:r>
        <w:rPr/>
        <w:t>G.</w:t>
      </w:r>
      <w:r>
        <w:rPr>
          <w:spacing w:val="25"/>
        </w:rPr>
        <w:t> </w:t>
      </w:r>
      <w:r>
        <w:rPr/>
        <w:t>and</w:t>
      </w:r>
      <w:r>
        <w:rPr>
          <w:spacing w:val="36"/>
        </w:rPr>
        <w:t> </w:t>
      </w:r>
      <w:r>
        <w:rPr/>
        <w:t>Michael,</w:t>
      </w:r>
      <w:r>
        <w:rPr>
          <w:spacing w:val="30"/>
        </w:rPr>
        <w:t> </w:t>
      </w:r>
      <w:r>
        <w:rPr/>
        <w:t>N.</w:t>
      </w:r>
      <w:r>
        <w:rPr>
          <w:spacing w:val="30"/>
        </w:rPr>
        <w:t> </w:t>
      </w:r>
      <w:r>
        <w:rPr/>
        <w:t>(2010).</w:t>
      </w:r>
      <w:r>
        <w:rPr>
          <w:spacing w:val="25"/>
        </w:rPr>
        <w:t> </w:t>
      </w:r>
      <w:r>
        <w:rPr/>
        <w:t>Can</w:t>
      </w:r>
      <w:r>
        <w:rPr>
          <w:spacing w:val="26"/>
        </w:rPr>
        <w:t> </w:t>
      </w:r>
      <w:r>
        <w:rPr/>
        <w:t>nanoparticles</w:t>
      </w:r>
      <w:r>
        <w:rPr>
          <w:spacing w:val="28"/>
        </w:rPr>
        <w:t> </w:t>
      </w:r>
      <w:r>
        <w:rPr/>
        <w:t>end</w:t>
      </w:r>
      <w:r>
        <w:rPr>
          <w:spacing w:val="32"/>
        </w:rPr>
        <w:t> </w:t>
      </w:r>
      <w:r>
        <w:rPr/>
        <w:t>up</w:t>
      </w:r>
      <w:r>
        <w:rPr>
          <w:spacing w:val="26"/>
        </w:rPr>
        <w:t> </w:t>
      </w:r>
      <w:r>
        <w:rPr/>
        <w:t>in the brain?. </w:t>
      </w:r>
      <w:r>
        <w:rPr>
          <w:i/>
        </w:rPr>
        <w:t>The NanoTrust Dossiers</w:t>
      </w:r>
      <w:r>
        <w:rPr/>
        <w:t>, No. 014en, ISSN: 1998-7293</w:t>
      </w:r>
    </w:p>
    <w:p>
      <w:pPr>
        <w:pStyle w:val="BodyText"/>
        <w:spacing w:before="9"/>
      </w:pPr>
    </w:p>
    <w:p>
      <w:pPr>
        <w:spacing w:line="244" w:lineRule="auto" w:before="0"/>
        <w:ind w:left="1342" w:right="900" w:hanging="677"/>
        <w:jc w:val="both"/>
        <w:rPr>
          <w:sz w:val="22"/>
        </w:rPr>
      </w:pPr>
      <w:r>
        <w:rPr>
          <w:sz w:val="22"/>
        </w:rPr>
        <w:t>Nabeshima, T., Katoh, A. and Ishimaru, H. (1991). Carbon monoxide-induced delayed amnesia, delayed neuronal death and change in acetylcholine concentration in mice. </w:t>
      </w:r>
      <w:r>
        <w:rPr>
          <w:i/>
          <w:sz w:val="22"/>
        </w:rPr>
        <w:t>Journal of Pharmacology and Experimental Therapeutics</w:t>
      </w:r>
      <w:r>
        <w:rPr>
          <w:sz w:val="22"/>
        </w:rPr>
        <w:t>, 256: 378–84.</w:t>
      </w:r>
    </w:p>
    <w:p>
      <w:pPr>
        <w:pStyle w:val="BodyText"/>
        <w:spacing w:before="9"/>
      </w:pPr>
    </w:p>
    <w:p>
      <w:pPr>
        <w:pStyle w:val="BodyText"/>
        <w:spacing w:line="244" w:lineRule="auto"/>
        <w:ind w:left="1342" w:right="899" w:hanging="677"/>
        <w:jc w:val="both"/>
      </w:pPr>
      <w:r>
        <w:rPr/>
        <w:t>Nathanson,</w:t>
      </w:r>
      <w:r>
        <w:rPr>
          <w:spacing w:val="40"/>
        </w:rPr>
        <w:t> </w:t>
      </w:r>
      <w:r>
        <w:rPr/>
        <w:t>J.A.,</w:t>
      </w:r>
      <w:r>
        <w:rPr>
          <w:spacing w:val="40"/>
        </w:rPr>
        <w:t> </w:t>
      </w:r>
      <w:r>
        <w:rPr/>
        <w:t>Scavone,</w:t>
      </w:r>
      <w:r>
        <w:rPr>
          <w:spacing w:val="40"/>
        </w:rPr>
        <w:t> </w:t>
      </w:r>
      <w:r>
        <w:rPr/>
        <w:t>C.,</w:t>
      </w:r>
      <w:r>
        <w:rPr>
          <w:spacing w:val="40"/>
        </w:rPr>
        <w:t> </w:t>
      </w:r>
      <w:r>
        <w:rPr/>
        <w:t>Scanlon,</w:t>
      </w:r>
      <w:r>
        <w:rPr>
          <w:spacing w:val="40"/>
        </w:rPr>
        <w:t> </w:t>
      </w:r>
      <w:r>
        <w:rPr/>
        <w:t>C.</w:t>
      </w:r>
      <w:r>
        <w:rPr>
          <w:spacing w:val="40"/>
        </w:rPr>
        <w:t> </w:t>
      </w:r>
      <w:r>
        <w:rPr/>
        <w:t>and</w:t>
      </w:r>
      <w:r>
        <w:rPr>
          <w:spacing w:val="40"/>
        </w:rPr>
        <w:t> </w:t>
      </w:r>
      <w:r>
        <w:rPr/>
        <w:t>McKee,</w:t>
      </w:r>
      <w:r>
        <w:rPr>
          <w:spacing w:val="40"/>
        </w:rPr>
        <w:t> </w:t>
      </w:r>
      <w:r>
        <w:rPr/>
        <w:t>M.</w:t>
      </w:r>
      <w:r>
        <w:rPr>
          <w:spacing w:val="40"/>
        </w:rPr>
        <w:t> </w:t>
      </w:r>
      <w:r>
        <w:rPr/>
        <w:t>(1995).</w:t>
      </w:r>
      <w:r>
        <w:rPr>
          <w:spacing w:val="40"/>
        </w:rPr>
        <w:t> </w:t>
      </w:r>
      <w:r>
        <w:rPr/>
        <w:t>The</w:t>
      </w:r>
      <w:r>
        <w:rPr>
          <w:spacing w:val="40"/>
        </w:rPr>
        <w:t> </w:t>
      </w:r>
      <w:r>
        <w:rPr/>
        <w:t>cellular</w:t>
      </w:r>
      <w:r>
        <w:rPr>
          <w:spacing w:val="40"/>
        </w:rPr>
        <w:t> </w:t>
      </w:r>
      <w:r>
        <w:rPr/>
        <w:t>Na</w:t>
      </w:r>
      <w:r>
        <w:rPr>
          <w:vertAlign w:val="superscript"/>
        </w:rPr>
        <w:t>+</w:t>
      </w:r>
      <w:r>
        <w:rPr>
          <w:vertAlign w:val="baseline"/>
        </w:rPr>
        <w:t> pump as a site of action for carbon monoxide and glutamate: a mechanism for long-term modulation of cellular activity. </w:t>
      </w:r>
      <w:r>
        <w:rPr>
          <w:i/>
          <w:vertAlign w:val="baseline"/>
        </w:rPr>
        <w:t>Neuron</w:t>
      </w:r>
      <w:r>
        <w:rPr>
          <w:vertAlign w:val="baseline"/>
        </w:rPr>
        <w:t>, 14: 781-794.</w:t>
      </w:r>
    </w:p>
    <w:p>
      <w:pPr>
        <w:spacing w:after="0" w:line="244" w:lineRule="auto"/>
        <w:jc w:val="both"/>
        <w:sectPr>
          <w:pgSz w:w="12240" w:h="15840"/>
          <w:pgMar w:header="0" w:footer="916" w:top="1260" w:bottom="1100" w:left="1720" w:right="960"/>
        </w:sectPr>
      </w:pPr>
    </w:p>
    <w:p>
      <w:pPr>
        <w:spacing w:line="244" w:lineRule="auto" w:before="75"/>
        <w:ind w:left="1342" w:right="902" w:hanging="677"/>
        <w:jc w:val="both"/>
        <w:rPr>
          <w:sz w:val="22"/>
        </w:rPr>
      </w:pPr>
      <w:r>
        <w:rPr>
          <w:sz w:val="22"/>
        </w:rPr>
        <w:t>National Institute for Occupational Safety and Health. (1977). National Occupational Hazard Survey, 1972–74. </w:t>
      </w:r>
      <w:r>
        <w:rPr>
          <w:i/>
          <w:sz w:val="22"/>
        </w:rPr>
        <w:t>Designing Healthy Environment at Work, Publication </w:t>
      </w:r>
      <w:r>
        <w:rPr>
          <w:sz w:val="22"/>
        </w:rPr>
        <w:t>No. (NIOSH) 78-114. Cincinnati, Ohio: NIOSH.</w:t>
      </w:r>
    </w:p>
    <w:p>
      <w:pPr>
        <w:pStyle w:val="BodyText"/>
        <w:spacing w:before="10"/>
      </w:pPr>
    </w:p>
    <w:p>
      <w:pPr>
        <w:spacing w:line="244" w:lineRule="auto" w:before="0"/>
        <w:ind w:left="1342" w:right="896" w:hanging="677"/>
        <w:jc w:val="both"/>
        <w:rPr>
          <w:sz w:val="22"/>
        </w:rPr>
      </w:pPr>
      <w:r>
        <w:rPr>
          <w:sz w:val="22"/>
        </w:rPr>
        <w:t>Neil, B., Hampson, M.D., Jennette, L. and Zmaeff. (2005). Carbon Monoxide Poisoning from Portable Electric Generators. </w:t>
      </w:r>
      <w:r>
        <w:rPr>
          <w:i/>
          <w:sz w:val="22"/>
        </w:rPr>
        <w:t>American Journal of Preventive Medicine</w:t>
      </w:r>
      <w:r>
        <w:rPr>
          <w:sz w:val="22"/>
        </w:rPr>
        <w:t>, 28(1): 123–125</w:t>
      </w:r>
    </w:p>
    <w:p>
      <w:pPr>
        <w:pStyle w:val="BodyText"/>
        <w:spacing w:before="9"/>
      </w:pPr>
    </w:p>
    <w:p>
      <w:pPr>
        <w:pStyle w:val="BodyText"/>
        <w:spacing w:line="244" w:lineRule="auto" w:before="1"/>
        <w:ind w:left="1342" w:right="895" w:hanging="677"/>
        <w:jc w:val="both"/>
      </w:pPr>
      <w:r>
        <w:rPr/>
        <w:t>O’Donnell P. Buxton, P.J., Pitkin, A. and Jarvis, L.J. (2000). The magnetic resonance imaging appearances of the brain in acute carbon monoxide poisoning. </w:t>
      </w:r>
      <w:r>
        <w:rPr>
          <w:i/>
        </w:rPr>
        <w:t>Clinical Radiology</w:t>
      </w:r>
      <w:r>
        <w:rPr/>
        <w:t>, 55(4): 273-280.</w:t>
      </w:r>
    </w:p>
    <w:p>
      <w:pPr>
        <w:pStyle w:val="BodyText"/>
        <w:spacing w:before="9"/>
      </w:pPr>
    </w:p>
    <w:p>
      <w:pPr>
        <w:pStyle w:val="BodyText"/>
        <w:spacing w:line="247" w:lineRule="auto"/>
        <w:ind w:left="1342" w:right="902" w:hanging="677"/>
        <w:jc w:val="both"/>
      </w:pPr>
      <w:r>
        <w:rPr/>
        <w:t>Okeda, R., Funata, N., Takano, T., Miyazaki, Y., Higashino, F., Yokoyama, K. and Manabe,</w:t>
      </w:r>
      <w:r>
        <w:rPr>
          <w:spacing w:val="40"/>
        </w:rPr>
        <w:t> </w:t>
      </w:r>
      <w:r>
        <w:rPr/>
        <w:t>M.</w:t>
      </w:r>
      <w:r>
        <w:rPr>
          <w:spacing w:val="40"/>
        </w:rPr>
        <w:t> </w:t>
      </w:r>
      <w:r>
        <w:rPr/>
        <w:t>(1981).</w:t>
      </w:r>
      <w:r>
        <w:rPr>
          <w:spacing w:val="40"/>
        </w:rPr>
        <w:t> </w:t>
      </w:r>
      <w:r>
        <w:rPr/>
        <w:t>The</w:t>
      </w:r>
      <w:r>
        <w:rPr>
          <w:spacing w:val="40"/>
        </w:rPr>
        <w:t> </w:t>
      </w:r>
      <w:r>
        <w:rPr/>
        <w:t>pathogenesis</w:t>
      </w:r>
      <w:r>
        <w:rPr>
          <w:spacing w:val="40"/>
        </w:rPr>
        <w:t> </w:t>
      </w:r>
      <w:r>
        <w:rPr/>
        <w:t>of</w:t>
      </w:r>
      <w:r>
        <w:rPr>
          <w:spacing w:val="40"/>
        </w:rPr>
        <w:t> </w:t>
      </w:r>
      <w:r>
        <w:rPr/>
        <w:t>carbon</w:t>
      </w:r>
      <w:r>
        <w:rPr>
          <w:spacing w:val="40"/>
        </w:rPr>
        <w:t> </w:t>
      </w:r>
      <w:r>
        <w:rPr/>
        <w:t>monoxide</w:t>
      </w:r>
      <w:r>
        <w:rPr>
          <w:spacing w:val="40"/>
        </w:rPr>
        <w:t> </w:t>
      </w:r>
      <w:r>
        <w:rPr/>
        <w:t>encephalopathy</w:t>
      </w:r>
      <w:r>
        <w:rPr>
          <w:spacing w:val="40"/>
        </w:rPr>
        <w:t> </w:t>
      </w:r>
      <w:r>
        <w:rPr/>
        <w:t>in the acute phase—physiological and morphological correlation. </w:t>
      </w:r>
      <w:r>
        <w:rPr>
          <w:i/>
        </w:rPr>
        <w:t>Acta Neuropathologica, </w:t>
      </w:r>
      <w:r>
        <w:rPr/>
        <w:t>54: 1-10.</w:t>
      </w:r>
    </w:p>
    <w:p>
      <w:pPr>
        <w:pStyle w:val="BodyText"/>
        <w:spacing w:before="6"/>
      </w:pPr>
    </w:p>
    <w:p>
      <w:pPr>
        <w:pStyle w:val="BodyText"/>
        <w:ind w:left="1342" w:right="903" w:hanging="677"/>
        <w:jc w:val="both"/>
      </w:pPr>
      <w:r>
        <w:rPr/>
        <w:t>Partha, D.S. (2009). Environmental pollution, problems and control measures –</w:t>
      </w:r>
      <w:r>
        <w:rPr>
          <w:spacing w:val="80"/>
        </w:rPr>
        <w:t> </w:t>
      </w:r>
      <w:r>
        <w:rPr/>
        <w:t>Overview. </w:t>
      </w:r>
      <w:r>
        <w:rPr>
          <w:i/>
        </w:rPr>
        <w:t>Safer environment, </w:t>
      </w:r>
      <w:r>
        <w:rPr/>
        <w:t>1: 2.</w:t>
      </w:r>
    </w:p>
    <w:p>
      <w:pPr>
        <w:pStyle w:val="BodyText"/>
        <w:spacing w:before="18"/>
      </w:pPr>
    </w:p>
    <w:p>
      <w:pPr>
        <w:pStyle w:val="BodyText"/>
        <w:spacing w:line="244" w:lineRule="auto"/>
        <w:ind w:left="1342" w:right="895" w:hanging="677"/>
        <w:jc w:val="both"/>
      </w:pPr>
      <w:r>
        <w:rPr/>
        <w:t>Paulson,</w:t>
      </w:r>
      <w:r>
        <w:rPr>
          <w:spacing w:val="19"/>
        </w:rPr>
        <w:t> </w:t>
      </w:r>
      <w:r>
        <w:rPr/>
        <w:t>O.B.,</w:t>
      </w:r>
      <w:r>
        <w:rPr>
          <w:spacing w:val="25"/>
        </w:rPr>
        <w:t> </w:t>
      </w:r>
      <w:r>
        <w:rPr/>
        <w:t>Parving,</w:t>
      </w:r>
      <w:r>
        <w:rPr>
          <w:spacing w:val="25"/>
        </w:rPr>
        <w:t> </w:t>
      </w:r>
      <w:r>
        <w:rPr/>
        <w:t>H.H.</w:t>
      </w:r>
      <w:r>
        <w:rPr>
          <w:spacing w:val="19"/>
        </w:rPr>
        <w:t> </w:t>
      </w:r>
      <w:r>
        <w:rPr/>
        <w:t>and</w:t>
      </w:r>
      <w:r>
        <w:rPr>
          <w:spacing w:val="27"/>
        </w:rPr>
        <w:t> </w:t>
      </w:r>
      <w:r>
        <w:rPr/>
        <w:t>Olesen,</w:t>
      </w:r>
      <w:r>
        <w:rPr>
          <w:spacing w:val="19"/>
        </w:rPr>
        <w:t> </w:t>
      </w:r>
      <w:r>
        <w:rPr/>
        <w:t>J.</w:t>
      </w:r>
      <w:r>
        <w:rPr>
          <w:spacing w:val="19"/>
        </w:rPr>
        <w:t> </w:t>
      </w:r>
      <w:r>
        <w:rPr/>
        <w:t>(1973).</w:t>
      </w:r>
      <w:r>
        <w:rPr>
          <w:spacing w:val="80"/>
        </w:rPr>
        <w:t> </w:t>
      </w:r>
      <w:r>
        <w:rPr/>
        <w:t>Influence</w:t>
      </w:r>
      <w:r>
        <w:rPr>
          <w:spacing w:val="19"/>
        </w:rPr>
        <w:t> </w:t>
      </w:r>
      <w:r>
        <w:rPr/>
        <w:t>of</w:t>
      </w:r>
      <w:r>
        <w:rPr>
          <w:spacing w:val="21"/>
        </w:rPr>
        <w:t> </w:t>
      </w:r>
      <w:r>
        <w:rPr/>
        <w:t>carbon monoxide</w:t>
      </w:r>
      <w:r>
        <w:rPr>
          <w:spacing w:val="19"/>
        </w:rPr>
        <w:t> </w:t>
      </w:r>
      <w:r>
        <w:rPr/>
        <w:t>and of hemodilution on cerebral blood flow and blood gases in man. </w:t>
      </w:r>
      <w:r>
        <w:rPr>
          <w:i/>
        </w:rPr>
        <w:t>Journal of</w:t>
      </w:r>
      <w:r>
        <w:rPr>
          <w:i/>
          <w:spacing w:val="40"/>
        </w:rPr>
        <w:t> </w:t>
      </w:r>
      <w:r>
        <w:rPr>
          <w:i/>
        </w:rPr>
        <w:t>Applied Physiology</w:t>
      </w:r>
      <w:r>
        <w:rPr/>
        <w:t>, 35(1): 111-116.</w:t>
      </w:r>
    </w:p>
    <w:p>
      <w:pPr>
        <w:pStyle w:val="BodyText"/>
        <w:spacing w:before="10"/>
      </w:pPr>
    </w:p>
    <w:p>
      <w:pPr>
        <w:pStyle w:val="BodyText"/>
        <w:ind w:left="665"/>
      </w:pPr>
      <w:r>
        <w:rPr/>
        <w:t>Penney,</w:t>
      </w:r>
      <w:r>
        <w:rPr>
          <w:spacing w:val="51"/>
        </w:rPr>
        <w:t> </w:t>
      </w:r>
      <w:r>
        <w:rPr/>
        <w:t>D.G.</w:t>
      </w:r>
      <w:r>
        <w:rPr>
          <w:spacing w:val="52"/>
        </w:rPr>
        <w:t> </w:t>
      </w:r>
      <w:r>
        <w:rPr/>
        <w:t>(2008)</w:t>
      </w:r>
      <w:r>
        <w:rPr>
          <w:spacing w:val="53"/>
        </w:rPr>
        <w:t> </w:t>
      </w:r>
      <w:r>
        <w:rPr/>
        <w:t>Chronic</w:t>
      </w:r>
      <w:r>
        <w:rPr>
          <w:spacing w:val="51"/>
        </w:rPr>
        <w:t> </w:t>
      </w:r>
      <w:r>
        <w:rPr/>
        <w:t>carbon</w:t>
      </w:r>
      <w:r>
        <w:rPr>
          <w:spacing w:val="48"/>
        </w:rPr>
        <w:t> </w:t>
      </w:r>
      <w:r>
        <w:rPr/>
        <w:t>monoxide</w:t>
      </w:r>
      <w:r>
        <w:rPr>
          <w:spacing w:val="51"/>
        </w:rPr>
        <w:t> </w:t>
      </w:r>
      <w:r>
        <w:rPr/>
        <w:t>poisoning:</w:t>
      </w:r>
      <w:r>
        <w:rPr>
          <w:spacing w:val="49"/>
        </w:rPr>
        <w:t> </w:t>
      </w:r>
      <w:r>
        <w:rPr/>
        <w:t>a</w:t>
      </w:r>
      <w:r>
        <w:rPr>
          <w:spacing w:val="51"/>
        </w:rPr>
        <w:t> </w:t>
      </w:r>
      <w:r>
        <w:rPr/>
        <w:t>case</w:t>
      </w:r>
      <w:r>
        <w:rPr>
          <w:spacing w:val="51"/>
        </w:rPr>
        <w:t> </w:t>
      </w:r>
      <w:r>
        <w:rPr/>
        <w:t>series.</w:t>
      </w:r>
      <w:r>
        <w:rPr>
          <w:spacing w:val="57"/>
        </w:rPr>
        <w:t> </w:t>
      </w:r>
      <w:r>
        <w:rPr/>
        <w:t>In:</w:t>
      </w:r>
      <w:r>
        <w:rPr>
          <w:spacing w:val="46"/>
        </w:rPr>
        <w:t> </w:t>
      </w:r>
      <w:r>
        <w:rPr>
          <w:spacing w:val="-2"/>
        </w:rPr>
        <w:t>Penney</w:t>
      </w:r>
    </w:p>
    <w:p>
      <w:pPr>
        <w:spacing w:line="244" w:lineRule="auto" w:before="6"/>
        <w:ind w:left="1342" w:right="896" w:firstLine="0"/>
        <w:jc w:val="left"/>
        <w:rPr>
          <w:sz w:val="22"/>
        </w:rPr>
      </w:pPr>
      <w:r>
        <w:rPr>
          <w:sz w:val="22"/>
        </w:rPr>
        <w:t>D.G.</w:t>
      </w:r>
      <w:r>
        <w:rPr>
          <w:spacing w:val="40"/>
          <w:sz w:val="22"/>
        </w:rPr>
        <w:t> </w:t>
      </w:r>
      <w:r>
        <w:rPr>
          <w:sz w:val="22"/>
        </w:rPr>
        <w:t>(Ed)</w:t>
      </w:r>
      <w:r>
        <w:rPr>
          <w:spacing w:val="40"/>
          <w:sz w:val="22"/>
        </w:rPr>
        <w:t> </w:t>
      </w:r>
      <w:r>
        <w:rPr>
          <w:i/>
          <w:sz w:val="22"/>
        </w:rPr>
        <w:t>Carbon</w:t>
      </w:r>
      <w:r>
        <w:rPr>
          <w:i/>
          <w:spacing w:val="40"/>
          <w:sz w:val="22"/>
        </w:rPr>
        <w:t> </w:t>
      </w:r>
      <w:r>
        <w:rPr>
          <w:i/>
          <w:sz w:val="22"/>
        </w:rPr>
        <w:t>monoxide</w:t>
      </w:r>
      <w:r>
        <w:rPr>
          <w:i/>
          <w:spacing w:val="37"/>
          <w:sz w:val="22"/>
        </w:rPr>
        <w:t> </w:t>
      </w:r>
      <w:r>
        <w:rPr>
          <w:i/>
          <w:sz w:val="22"/>
        </w:rPr>
        <w:t>poisoning</w:t>
      </w:r>
      <w:r>
        <w:rPr>
          <w:sz w:val="22"/>
        </w:rPr>
        <w:t>.</w:t>
      </w:r>
      <w:r>
        <w:rPr>
          <w:spacing w:val="40"/>
          <w:sz w:val="22"/>
        </w:rPr>
        <w:t> </w:t>
      </w:r>
      <w:r>
        <w:rPr>
          <w:sz w:val="22"/>
        </w:rPr>
        <w:t>Boca</w:t>
      </w:r>
      <w:r>
        <w:rPr>
          <w:spacing w:val="40"/>
          <w:sz w:val="22"/>
        </w:rPr>
        <w:t> </w:t>
      </w:r>
      <w:r>
        <w:rPr>
          <w:sz w:val="22"/>
        </w:rPr>
        <w:t>Raton,</w:t>
      </w:r>
      <w:r>
        <w:rPr>
          <w:spacing w:val="40"/>
          <w:sz w:val="22"/>
        </w:rPr>
        <w:t> </w:t>
      </w:r>
      <w:r>
        <w:rPr>
          <w:sz w:val="22"/>
        </w:rPr>
        <w:t>FL:</w:t>
      </w:r>
      <w:r>
        <w:rPr>
          <w:spacing w:val="40"/>
          <w:sz w:val="22"/>
        </w:rPr>
        <w:t> </w:t>
      </w:r>
      <w:r>
        <w:rPr>
          <w:i/>
          <w:sz w:val="22"/>
        </w:rPr>
        <w:t>CRC</w:t>
      </w:r>
      <w:r>
        <w:rPr>
          <w:i/>
          <w:spacing w:val="40"/>
          <w:sz w:val="22"/>
        </w:rPr>
        <w:t> </w:t>
      </w:r>
      <w:r>
        <w:rPr>
          <w:i/>
          <w:sz w:val="22"/>
        </w:rPr>
        <w:t>Press,</w:t>
      </w:r>
      <w:r>
        <w:rPr>
          <w:i/>
          <w:spacing w:val="40"/>
          <w:sz w:val="22"/>
        </w:rPr>
        <w:t> </w:t>
      </w:r>
      <w:r>
        <w:rPr>
          <w:sz w:val="22"/>
        </w:rPr>
        <w:t>U.S.A., </w:t>
      </w:r>
      <w:r>
        <w:rPr>
          <w:spacing w:val="-2"/>
          <w:sz w:val="22"/>
        </w:rPr>
        <w:t>551-67.</w:t>
      </w:r>
    </w:p>
    <w:p>
      <w:pPr>
        <w:pStyle w:val="BodyText"/>
        <w:spacing w:before="9"/>
      </w:pPr>
    </w:p>
    <w:p>
      <w:pPr>
        <w:spacing w:line="244" w:lineRule="auto" w:before="0"/>
        <w:ind w:left="1342" w:right="903" w:hanging="677"/>
        <w:jc w:val="both"/>
        <w:rPr>
          <w:sz w:val="22"/>
        </w:rPr>
      </w:pPr>
      <w:r>
        <w:rPr>
          <w:sz w:val="22"/>
        </w:rPr>
        <w:t>Peterson, J.E. (1970). Post exposure relationship of carbon monoxide in blood and</w:t>
      </w:r>
      <w:r>
        <w:rPr>
          <w:spacing w:val="80"/>
          <w:sz w:val="22"/>
        </w:rPr>
        <w:t> </w:t>
      </w:r>
      <w:r>
        <w:rPr>
          <w:sz w:val="22"/>
        </w:rPr>
        <w:t>expired air. </w:t>
      </w:r>
      <w:r>
        <w:rPr>
          <w:i/>
          <w:sz w:val="22"/>
        </w:rPr>
        <w:t>Archives of environmental health</w:t>
      </w:r>
      <w:r>
        <w:rPr>
          <w:sz w:val="22"/>
        </w:rPr>
        <w:t>, 21: 172–173.</w:t>
      </w:r>
    </w:p>
    <w:p>
      <w:pPr>
        <w:pStyle w:val="BodyText"/>
        <w:spacing w:before="13"/>
      </w:pPr>
    </w:p>
    <w:p>
      <w:pPr>
        <w:pStyle w:val="BodyText"/>
        <w:spacing w:line="244" w:lineRule="auto"/>
        <w:ind w:left="1342" w:right="899" w:hanging="677"/>
        <w:jc w:val="both"/>
      </w:pPr>
      <w:r>
        <w:rPr/>
        <w:t>Piantadosi, C.A., Zhang, J., Levin, E.D., Folz, R.J. and Schmechel, D.E. (1997).</w:t>
      </w:r>
      <w:r>
        <w:rPr>
          <w:spacing w:val="40"/>
        </w:rPr>
        <w:t> </w:t>
      </w:r>
      <w:r>
        <w:rPr/>
        <w:t>Apoptosis and delayed neuronal damage after carbon monoxide poisoning in rat. </w:t>
      </w:r>
      <w:r>
        <w:rPr>
          <w:i/>
        </w:rPr>
        <w:t>Experimental Neurology, </w:t>
      </w:r>
      <w:r>
        <w:rPr/>
        <w:t>147: 103-14.</w:t>
      </w:r>
    </w:p>
    <w:p>
      <w:pPr>
        <w:pStyle w:val="BodyText"/>
        <w:spacing w:before="10"/>
      </w:pPr>
    </w:p>
    <w:p>
      <w:pPr>
        <w:pStyle w:val="BodyText"/>
        <w:spacing w:line="244" w:lineRule="auto"/>
        <w:ind w:left="1342" w:right="899" w:hanging="677"/>
        <w:jc w:val="both"/>
      </w:pPr>
      <w:r>
        <w:rPr/>
        <w:t>Piantadosi, C.A. (1996). Toxicity of carbon monoxide: hemoglobin vs. histotoxic mechanisms. In: Penney, D.G. (Ed) </w:t>
      </w:r>
      <w:r>
        <w:rPr>
          <w:i/>
        </w:rPr>
        <w:t>Carbon monoxide</w:t>
      </w:r>
      <w:r>
        <w:rPr/>
        <w:t>. Boca Raton, FL: </w:t>
      </w:r>
      <w:r>
        <w:rPr>
          <w:i/>
        </w:rPr>
        <w:t>CRC Press, </w:t>
      </w:r>
      <w:r>
        <w:rPr/>
        <w:t>U.S.A., 163-86.</w:t>
      </w:r>
    </w:p>
    <w:p>
      <w:pPr>
        <w:pStyle w:val="BodyText"/>
        <w:spacing w:before="9"/>
      </w:pPr>
    </w:p>
    <w:p>
      <w:pPr>
        <w:pStyle w:val="BodyText"/>
        <w:spacing w:line="244" w:lineRule="auto" w:before="1"/>
        <w:ind w:left="1342" w:right="897" w:hanging="677"/>
        <w:jc w:val="both"/>
        <w:rPr>
          <w:i/>
        </w:rPr>
      </w:pPr>
      <w:r>
        <w:rPr>
          <w:color w:val="3333CC"/>
          <w:u w:val="single" w:color="3333CC"/>
        </w:rPr>
        <w:t>Pineda</w:t>
      </w:r>
      <w:r>
        <w:rPr/>
        <w:t>, J., </w:t>
      </w:r>
      <w:r>
        <w:rPr>
          <w:color w:val="3333CC"/>
          <w:u w:val="single" w:color="3333CC"/>
        </w:rPr>
        <w:t>Kogan</w:t>
      </w:r>
      <w:r>
        <w:rPr/>
        <w:t>, J.H. and </w:t>
      </w:r>
      <w:r>
        <w:rPr>
          <w:color w:val="3333CC"/>
          <w:u w:val="single" w:color="3333CC"/>
        </w:rPr>
        <w:t>Aghajanian</w:t>
      </w:r>
      <w:r>
        <w:rPr/>
        <w:t>, G.K. (1996). Nitric oxide and carbon monoxide activate locus coeruleus neurons through a cGMP-dependent protein kinase: involvement of a nonselective cationic channel. </w:t>
      </w:r>
      <w:r>
        <w:rPr>
          <w:i/>
        </w:rPr>
        <w:t>The Journal of Neuroscience; 16</w:t>
      </w:r>
      <w:r>
        <w:rPr/>
        <w:t>(4): </w:t>
      </w:r>
      <w:r>
        <w:rPr>
          <w:i/>
        </w:rPr>
        <w:t>1389-1399;</w:t>
      </w:r>
    </w:p>
    <w:p>
      <w:pPr>
        <w:pStyle w:val="BodyText"/>
        <w:spacing w:before="10"/>
        <w:rPr>
          <w:i/>
        </w:rPr>
      </w:pPr>
    </w:p>
    <w:p>
      <w:pPr>
        <w:pStyle w:val="BodyText"/>
        <w:spacing w:line="244" w:lineRule="auto" w:before="1"/>
        <w:ind w:left="1342" w:right="900" w:hanging="677"/>
        <w:jc w:val="both"/>
      </w:pPr>
      <w:r>
        <w:rPr/>
        <w:t>Poderoso, J.J., Cerreras, M.C., Lisdero, C., Riobó, N., Schöpfer, F. and Boveris, A.</w:t>
      </w:r>
      <w:r>
        <w:rPr>
          <w:spacing w:val="40"/>
        </w:rPr>
        <w:t> </w:t>
      </w:r>
      <w:r>
        <w:rPr/>
        <w:t>(1996). Nitric oxide inhibits electron transfer and increases superoxide radical production in rat heart mitochondria and submitochondrial particles. </w:t>
      </w:r>
      <w:r>
        <w:rPr>
          <w:i/>
        </w:rPr>
        <w:t>Archives of Biochemistry and Biophysics, </w:t>
      </w:r>
      <w:r>
        <w:rPr/>
        <w:t>328: 85-92.</w:t>
      </w:r>
    </w:p>
    <w:p>
      <w:pPr>
        <w:spacing w:after="0" w:line="244" w:lineRule="auto"/>
        <w:jc w:val="both"/>
        <w:sectPr>
          <w:pgSz w:w="12240" w:h="15840"/>
          <w:pgMar w:header="0" w:footer="916" w:top="1260" w:bottom="1100" w:left="1720" w:right="960"/>
        </w:sectPr>
      </w:pPr>
    </w:p>
    <w:p>
      <w:pPr>
        <w:spacing w:line="244" w:lineRule="auto" w:before="75"/>
        <w:ind w:left="1342" w:right="905" w:hanging="677"/>
        <w:jc w:val="both"/>
        <w:rPr>
          <w:sz w:val="22"/>
        </w:rPr>
      </w:pPr>
      <w:r>
        <w:rPr>
          <w:sz w:val="22"/>
        </w:rPr>
        <w:t>Prockop, L.D. and Chichkova, R.I. (2007). Carbon monoxide intoxication: An updated review. </w:t>
      </w:r>
      <w:r>
        <w:rPr>
          <w:i/>
          <w:sz w:val="22"/>
        </w:rPr>
        <w:t>Journal of the neurological sciences</w:t>
      </w:r>
      <w:r>
        <w:rPr>
          <w:sz w:val="22"/>
        </w:rPr>
        <w:t>, 262(1-2): 122-130.</w:t>
      </w:r>
    </w:p>
    <w:p>
      <w:pPr>
        <w:pStyle w:val="BodyText"/>
        <w:spacing w:before="8"/>
      </w:pPr>
    </w:p>
    <w:p>
      <w:pPr>
        <w:pStyle w:val="BodyText"/>
        <w:spacing w:line="244" w:lineRule="auto" w:before="1"/>
        <w:ind w:left="1342" w:right="902" w:hanging="677"/>
        <w:jc w:val="both"/>
      </w:pPr>
      <w:r>
        <w:rPr/>
        <w:t>Radford, E.P. and Drizd, T.A. (1982).</w:t>
      </w:r>
      <w:r>
        <w:rPr>
          <w:spacing w:val="40"/>
        </w:rPr>
        <w:t> </w:t>
      </w:r>
      <w:r>
        <w:rPr/>
        <w:t>Blood carbon monoxide levels in persons 3-74 years of age:</w:t>
      </w:r>
      <w:r>
        <w:rPr>
          <w:spacing w:val="40"/>
        </w:rPr>
        <w:t> </w:t>
      </w:r>
      <w:r>
        <w:rPr/>
        <w:t>United States, 1976-80a. </w:t>
      </w:r>
      <w:r>
        <w:rPr>
          <w:i/>
        </w:rPr>
        <w:t>Advanced Data</w:t>
      </w:r>
      <w:r>
        <w:rPr/>
        <w:t>, 76: 1-24.</w:t>
      </w:r>
    </w:p>
    <w:p>
      <w:pPr>
        <w:pStyle w:val="BodyText"/>
        <w:spacing w:before="8"/>
      </w:pPr>
    </w:p>
    <w:p>
      <w:pPr>
        <w:pStyle w:val="BodyText"/>
        <w:ind w:left="665"/>
      </w:pPr>
      <w:r>
        <w:rPr/>
        <w:t>Raub,</w:t>
      </w:r>
      <w:r>
        <w:rPr>
          <w:spacing w:val="65"/>
        </w:rPr>
        <w:t> </w:t>
      </w:r>
      <w:r>
        <w:rPr/>
        <w:t>J.A.</w:t>
      </w:r>
      <w:r>
        <w:rPr>
          <w:spacing w:val="60"/>
        </w:rPr>
        <w:t> </w:t>
      </w:r>
      <w:r>
        <w:rPr/>
        <w:t>and</w:t>
      </w:r>
      <w:r>
        <w:rPr>
          <w:spacing w:val="67"/>
        </w:rPr>
        <w:t> </w:t>
      </w:r>
      <w:r>
        <w:rPr/>
        <w:t>Benignus,</w:t>
      </w:r>
      <w:r>
        <w:rPr>
          <w:spacing w:val="65"/>
        </w:rPr>
        <w:t> </w:t>
      </w:r>
      <w:r>
        <w:rPr/>
        <w:t>V.A.</w:t>
      </w:r>
      <w:r>
        <w:rPr>
          <w:spacing w:val="65"/>
        </w:rPr>
        <w:t> </w:t>
      </w:r>
      <w:r>
        <w:rPr/>
        <w:t>(2002).</w:t>
      </w:r>
      <w:r>
        <w:rPr>
          <w:spacing w:val="66"/>
        </w:rPr>
        <w:t> </w:t>
      </w:r>
      <w:r>
        <w:rPr/>
        <w:t>Carbon</w:t>
      </w:r>
      <w:r>
        <w:rPr>
          <w:spacing w:val="57"/>
        </w:rPr>
        <w:t> </w:t>
      </w:r>
      <w:r>
        <w:rPr/>
        <w:t>monoxide</w:t>
      </w:r>
      <w:r>
        <w:rPr>
          <w:spacing w:val="60"/>
        </w:rPr>
        <w:t> </w:t>
      </w:r>
      <w:r>
        <w:rPr/>
        <w:t>and</w:t>
      </w:r>
      <w:r>
        <w:rPr>
          <w:spacing w:val="66"/>
        </w:rPr>
        <w:t> </w:t>
      </w:r>
      <w:r>
        <w:rPr/>
        <w:t>the</w:t>
      </w:r>
      <w:r>
        <w:rPr>
          <w:spacing w:val="66"/>
        </w:rPr>
        <w:t> </w:t>
      </w:r>
      <w:r>
        <w:rPr/>
        <w:t>nervous</w:t>
      </w:r>
      <w:r>
        <w:rPr>
          <w:spacing w:val="58"/>
        </w:rPr>
        <w:t> </w:t>
      </w:r>
      <w:r>
        <w:rPr>
          <w:spacing w:val="-2"/>
        </w:rPr>
        <w:t>system.</w:t>
      </w:r>
    </w:p>
    <w:p>
      <w:pPr>
        <w:spacing w:before="6"/>
        <w:ind w:left="1342" w:right="0" w:firstLine="0"/>
        <w:jc w:val="left"/>
        <w:rPr>
          <w:sz w:val="22"/>
        </w:rPr>
      </w:pPr>
      <w:r>
        <w:rPr>
          <w:i/>
          <w:sz w:val="22"/>
        </w:rPr>
        <w:t>Neuroscience</w:t>
      </w:r>
      <w:r>
        <w:rPr>
          <w:i/>
          <w:spacing w:val="15"/>
          <w:sz w:val="22"/>
        </w:rPr>
        <w:t> </w:t>
      </w:r>
      <w:r>
        <w:rPr>
          <w:i/>
          <w:sz w:val="22"/>
        </w:rPr>
        <w:t>and</w:t>
      </w:r>
      <w:r>
        <w:rPr>
          <w:i/>
          <w:spacing w:val="23"/>
          <w:sz w:val="22"/>
        </w:rPr>
        <w:t> </w:t>
      </w:r>
      <w:r>
        <w:rPr>
          <w:i/>
          <w:sz w:val="22"/>
        </w:rPr>
        <w:t>Biobehavioural</w:t>
      </w:r>
      <w:r>
        <w:rPr>
          <w:i/>
          <w:spacing w:val="13"/>
          <w:sz w:val="22"/>
        </w:rPr>
        <w:t> </w:t>
      </w:r>
      <w:r>
        <w:rPr>
          <w:i/>
          <w:sz w:val="22"/>
        </w:rPr>
        <w:t>Review</w:t>
      </w:r>
      <w:r>
        <w:rPr>
          <w:sz w:val="22"/>
        </w:rPr>
        <w:t>,</w:t>
      </w:r>
      <w:r>
        <w:rPr>
          <w:spacing w:val="22"/>
          <w:sz w:val="22"/>
        </w:rPr>
        <w:t> </w:t>
      </w:r>
      <w:r>
        <w:rPr>
          <w:sz w:val="22"/>
        </w:rPr>
        <w:t>26(8):</w:t>
      </w:r>
      <w:r>
        <w:rPr>
          <w:spacing w:val="15"/>
          <w:sz w:val="22"/>
        </w:rPr>
        <w:t> </w:t>
      </w:r>
      <w:r>
        <w:rPr>
          <w:sz w:val="22"/>
        </w:rPr>
        <w:t>925-</w:t>
      </w:r>
      <w:r>
        <w:rPr>
          <w:spacing w:val="-4"/>
          <w:sz w:val="22"/>
        </w:rPr>
        <w:t>940.</w:t>
      </w:r>
    </w:p>
    <w:p>
      <w:pPr>
        <w:pStyle w:val="BodyText"/>
        <w:spacing w:before="13"/>
      </w:pPr>
    </w:p>
    <w:p>
      <w:pPr>
        <w:pStyle w:val="BodyText"/>
        <w:ind w:left="665"/>
      </w:pPr>
      <w:r>
        <w:rPr/>
        <w:t>Raub,</w:t>
      </w:r>
      <w:r>
        <w:rPr>
          <w:spacing w:val="17"/>
        </w:rPr>
        <w:t> </w:t>
      </w:r>
      <w:r>
        <w:rPr/>
        <w:t>J.A.,</w:t>
      </w:r>
      <w:r>
        <w:rPr>
          <w:spacing w:val="23"/>
        </w:rPr>
        <w:t> </w:t>
      </w:r>
      <w:r>
        <w:rPr/>
        <w:t>Mathieu-Nolf,</w:t>
      </w:r>
      <w:r>
        <w:rPr>
          <w:spacing w:val="24"/>
        </w:rPr>
        <w:t> </w:t>
      </w:r>
      <w:r>
        <w:rPr/>
        <w:t>M.</w:t>
      </w:r>
      <w:r>
        <w:rPr>
          <w:spacing w:val="17"/>
        </w:rPr>
        <w:t> </w:t>
      </w:r>
      <w:r>
        <w:rPr/>
        <w:t>and</w:t>
      </w:r>
      <w:r>
        <w:rPr>
          <w:spacing w:val="19"/>
        </w:rPr>
        <w:t> </w:t>
      </w:r>
      <w:r>
        <w:rPr/>
        <w:t>Hampson,</w:t>
      </w:r>
      <w:r>
        <w:rPr>
          <w:spacing w:val="17"/>
        </w:rPr>
        <w:t> </w:t>
      </w:r>
      <w:r>
        <w:rPr/>
        <w:t>N.B.</w:t>
      </w:r>
      <w:r>
        <w:rPr>
          <w:spacing w:val="18"/>
        </w:rPr>
        <w:t> </w:t>
      </w:r>
      <w:r>
        <w:rPr/>
        <w:t>(2000).</w:t>
      </w:r>
      <w:r>
        <w:rPr>
          <w:spacing w:val="61"/>
          <w:w w:val="150"/>
        </w:rPr>
        <w:t> </w:t>
      </w:r>
      <w:r>
        <w:rPr/>
        <w:t>Carbon</w:t>
      </w:r>
      <w:r>
        <w:rPr>
          <w:spacing w:val="14"/>
        </w:rPr>
        <w:t> </w:t>
      </w:r>
      <w:r>
        <w:rPr/>
        <w:t>monoxide</w:t>
      </w:r>
      <w:r>
        <w:rPr>
          <w:spacing w:val="18"/>
        </w:rPr>
        <w:t> </w:t>
      </w:r>
      <w:r>
        <w:rPr>
          <w:spacing w:val="-2"/>
        </w:rPr>
        <w:t>poisoning</w:t>
      </w:r>
    </w:p>
    <w:p>
      <w:pPr>
        <w:spacing w:before="6"/>
        <w:ind w:left="1342" w:right="0" w:firstLine="0"/>
        <w:jc w:val="left"/>
        <w:rPr>
          <w:sz w:val="22"/>
        </w:rPr>
      </w:pPr>
      <w:r>
        <w:rPr>
          <w:sz w:val="22"/>
        </w:rPr>
        <w:t>-</w:t>
      </w:r>
      <w:r>
        <w:rPr>
          <w:spacing w:val="13"/>
          <w:sz w:val="22"/>
        </w:rPr>
        <w:t> </w:t>
      </w:r>
      <w:r>
        <w:rPr>
          <w:sz w:val="22"/>
        </w:rPr>
        <w:t>a</w:t>
      </w:r>
      <w:r>
        <w:rPr>
          <w:spacing w:val="6"/>
          <w:sz w:val="22"/>
        </w:rPr>
        <w:t> </w:t>
      </w:r>
      <w:r>
        <w:rPr>
          <w:sz w:val="22"/>
        </w:rPr>
        <w:t>public</w:t>
      </w:r>
      <w:r>
        <w:rPr>
          <w:spacing w:val="13"/>
          <w:sz w:val="22"/>
        </w:rPr>
        <w:t> </w:t>
      </w:r>
      <w:r>
        <w:rPr>
          <w:sz w:val="22"/>
        </w:rPr>
        <w:t>health</w:t>
      </w:r>
      <w:r>
        <w:rPr>
          <w:spacing w:val="9"/>
          <w:sz w:val="22"/>
        </w:rPr>
        <w:t> </w:t>
      </w:r>
      <w:r>
        <w:rPr>
          <w:sz w:val="22"/>
        </w:rPr>
        <w:t>perspective.</w:t>
      </w:r>
      <w:r>
        <w:rPr>
          <w:spacing w:val="58"/>
          <w:w w:val="150"/>
          <w:sz w:val="22"/>
        </w:rPr>
        <w:t> </w:t>
      </w:r>
      <w:r>
        <w:rPr>
          <w:i/>
          <w:sz w:val="22"/>
        </w:rPr>
        <w:t>Toxicology,</w:t>
      </w:r>
      <w:r>
        <w:rPr>
          <w:i/>
          <w:spacing w:val="1"/>
          <w:sz w:val="22"/>
        </w:rPr>
        <w:t> </w:t>
      </w:r>
      <w:r>
        <w:rPr>
          <w:sz w:val="22"/>
        </w:rPr>
        <w:t>145(1):</w:t>
      </w:r>
      <w:r>
        <w:rPr>
          <w:spacing w:val="12"/>
          <w:sz w:val="22"/>
        </w:rPr>
        <w:t> </w:t>
      </w:r>
      <w:r>
        <w:rPr>
          <w:sz w:val="22"/>
        </w:rPr>
        <w:t>1-</w:t>
      </w:r>
      <w:r>
        <w:rPr>
          <w:spacing w:val="-5"/>
          <w:sz w:val="22"/>
        </w:rPr>
        <w:t>14.</w:t>
      </w:r>
    </w:p>
    <w:p>
      <w:pPr>
        <w:pStyle w:val="BodyText"/>
      </w:pPr>
    </w:p>
    <w:p>
      <w:pPr>
        <w:pStyle w:val="BodyText"/>
        <w:spacing w:before="23"/>
      </w:pPr>
    </w:p>
    <w:p>
      <w:pPr>
        <w:pStyle w:val="BodyText"/>
        <w:spacing w:line="244" w:lineRule="auto" w:before="1"/>
        <w:ind w:left="1342" w:right="893" w:hanging="677"/>
        <w:jc w:val="both"/>
      </w:pPr>
      <w:r>
        <w:rPr/>
        <w:t>Ritz, B., Wilhelm, M., Katherine, J., Hoggatt, Jo, K. and Ghosh, C. (2007). Ambient Air Pollution and</w:t>
      </w:r>
      <w:r>
        <w:rPr>
          <w:spacing w:val="24"/>
        </w:rPr>
        <w:t> </w:t>
      </w:r>
      <w:r>
        <w:rPr/>
        <w:t>Preterm</w:t>
      </w:r>
      <w:r>
        <w:rPr>
          <w:spacing w:val="24"/>
        </w:rPr>
        <w:t> </w:t>
      </w:r>
      <w:r>
        <w:rPr/>
        <w:t>Birth</w:t>
      </w:r>
      <w:r>
        <w:rPr>
          <w:spacing w:val="26"/>
        </w:rPr>
        <w:t> </w:t>
      </w:r>
      <w:r>
        <w:rPr/>
        <w:t>in the</w:t>
      </w:r>
      <w:r>
        <w:rPr>
          <w:spacing w:val="23"/>
        </w:rPr>
        <w:t> </w:t>
      </w:r>
      <w:r>
        <w:rPr/>
        <w:t>Environment</w:t>
      </w:r>
      <w:r>
        <w:rPr>
          <w:spacing w:val="27"/>
        </w:rPr>
        <w:t> </w:t>
      </w:r>
      <w:r>
        <w:rPr/>
        <w:t>and</w:t>
      </w:r>
      <w:r>
        <w:rPr>
          <w:spacing w:val="24"/>
        </w:rPr>
        <w:t> </w:t>
      </w:r>
      <w:r>
        <w:rPr/>
        <w:t>Pregnancy Outcomes Study at the University of California, Los Angeles. </w:t>
      </w:r>
      <w:r>
        <w:rPr>
          <w:i/>
        </w:rPr>
        <w:t>American Journal of Epidemiology</w:t>
      </w:r>
      <w:r>
        <w:rPr/>
        <w:t>, </w:t>
      </w:r>
      <w:r>
        <w:rPr>
          <w:spacing w:val="-2"/>
        </w:rPr>
        <w:t>166:9.</w:t>
      </w:r>
    </w:p>
    <w:p>
      <w:pPr>
        <w:pStyle w:val="BodyText"/>
        <w:spacing w:before="5"/>
      </w:pPr>
    </w:p>
    <w:p>
      <w:pPr>
        <w:spacing w:line="247" w:lineRule="auto" w:before="1"/>
        <w:ind w:left="1342" w:right="897" w:hanging="677"/>
        <w:jc w:val="both"/>
        <w:rPr>
          <w:sz w:val="22"/>
        </w:rPr>
      </w:pPr>
      <w:r>
        <w:rPr>
          <w:sz w:val="22"/>
        </w:rPr>
        <w:t>Reddy, P.L., Rajasekaran, K. and Paul, V. (2002). Evidence for an involvement of nitric oxide in memory of shock avoidance task in rats.</w:t>
      </w:r>
      <w:r>
        <w:rPr>
          <w:spacing w:val="40"/>
          <w:sz w:val="22"/>
        </w:rPr>
        <w:t> </w:t>
      </w:r>
      <w:r>
        <w:rPr>
          <w:i/>
          <w:sz w:val="22"/>
        </w:rPr>
        <w:t>Indian</w:t>
      </w:r>
      <w:r>
        <w:rPr>
          <w:i/>
          <w:spacing w:val="37"/>
          <w:sz w:val="22"/>
        </w:rPr>
        <w:t> </w:t>
      </w:r>
      <w:r>
        <w:rPr>
          <w:i/>
          <w:sz w:val="22"/>
        </w:rPr>
        <w:t>Journal of Physiology and Pharmacology, </w:t>
      </w:r>
      <w:r>
        <w:rPr>
          <w:sz w:val="22"/>
        </w:rPr>
        <w:t>46(1): 119–122.</w:t>
      </w:r>
    </w:p>
    <w:p>
      <w:pPr>
        <w:pStyle w:val="BodyText"/>
        <w:spacing w:before="6"/>
      </w:pPr>
    </w:p>
    <w:p>
      <w:pPr>
        <w:spacing w:line="244" w:lineRule="auto" w:before="1"/>
        <w:ind w:left="1342" w:right="904" w:hanging="677"/>
        <w:jc w:val="both"/>
        <w:rPr>
          <w:sz w:val="22"/>
        </w:rPr>
      </w:pPr>
      <w:r>
        <w:rPr>
          <w:sz w:val="22"/>
        </w:rPr>
        <w:t>Reddy, D.S. (1997). Assessment of nootropic and amnestic activity of centrally acting agents</w:t>
      </w:r>
      <w:r>
        <w:rPr>
          <w:i/>
          <w:sz w:val="22"/>
        </w:rPr>
        <w:t>. Indian Journal of Pharmacology, </w:t>
      </w:r>
      <w:r>
        <w:rPr>
          <w:sz w:val="22"/>
        </w:rPr>
        <w:t>29: 208–221.</w:t>
      </w:r>
    </w:p>
    <w:p>
      <w:pPr>
        <w:pStyle w:val="BodyText"/>
        <w:spacing w:before="8"/>
      </w:pPr>
    </w:p>
    <w:p>
      <w:pPr>
        <w:spacing w:line="244" w:lineRule="auto" w:before="0"/>
        <w:ind w:left="1342" w:right="903" w:hanging="677"/>
        <w:jc w:val="both"/>
        <w:rPr>
          <w:sz w:val="22"/>
        </w:rPr>
      </w:pPr>
      <w:r>
        <w:rPr>
          <w:sz w:val="22"/>
        </w:rPr>
        <w:t>Rudolf,</w:t>
      </w:r>
      <w:r>
        <w:rPr>
          <w:spacing w:val="25"/>
          <w:sz w:val="22"/>
        </w:rPr>
        <w:t> </w:t>
      </w:r>
      <w:r>
        <w:rPr>
          <w:sz w:val="22"/>
        </w:rPr>
        <w:t>W.</w:t>
      </w:r>
      <w:r>
        <w:rPr>
          <w:spacing w:val="30"/>
          <w:sz w:val="22"/>
        </w:rPr>
        <w:t> </w:t>
      </w:r>
      <w:r>
        <w:rPr>
          <w:sz w:val="22"/>
        </w:rPr>
        <w:t>(1994).</w:t>
      </w:r>
      <w:r>
        <w:rPr>
          <w:spacing w:val="25"/>
          <w:sz w:val="22"/>
        </w:rPr>
        <w:t> </w:t>
      </w:r>
      <w:r>
        <w:rPr>
          <w:sz w:val="22"/>
        </w:rPr>
        <w:t>Concentration</w:t>
      </w:r>
      <w:r>
        <w:rPr>
          <w:spacing w:val="21"/>
          <w:sz w:val="22"/>
        </w:rPr>
        <w:t> </w:t>
      </w:r>
      <w:r>
        <w:rPr>
          <w:sz w:val="22"/>
        </w:rPr>
        <w:t>of</w:t>
      </w:r>
      <w:r>
        <w:rPr>
          <w:spacing w:val="20"/>
          <w:sz w:val="22"/>
        </w:rPr>
        <w:t> </w:t>
      </w:r>
      <w:r>
        <w:rPr>
          <w:sz w:val="22"/>
        </w:rPr>
        <w:t>air</w:t>
      </w:r>
      <w:r>
        <w:rPr>
          <w:spacing w:val="25"/>
          <w:sz w:val="22"/>
        </w:rPr>
        <w:t> </w:t>
      </w:r>
      <w:r>
        <w:rPr>
          <w:sz w:val="22"/>
        </w:rPr>
        <w:t>pollutants</w:t>
      </w:r>
      <w:r>
        <w:rPr>
          <w:spacing w:val="27"/>
          <w:sz w:val="22"/>
        </w:rPr>
        <w:t> </w:t>
      </w:r>
      <w:r>
        <w:rPr>
          <w:sz w:val="22"/>
        </w:rPr>
        <w:t>inside</w:t>
      </w:r>
      <w:r>
        <w:rPr>
          <w:spacing w:val="23"/>
          <w:sz w:val="22"/>
        </w:rPr>
        <w:t> </w:t>
      </w:r>
      <w:r>
        <w:rPr>
          <w:sz w:val="22"/>
        </w:rPr>
        <w:t>cars</w:t>
      </w:r>
      <w:r>
        <w:rPr>
          <w:spacing w:val="21"/>
          <w:sz w:val="22"/>
        </w:rPr>
        <w:t> </w:t>
      </w:r>
      <w:r>
        <w:rPr>
          <w:sz w:val="22"/>
        </w:rPr>
        <w:t>driving</w:t>
      </w:r>
      <w:r>
        <w:rPr>
          <w:spacing w:val="21"/>
          <w:sz w:val="22"/>
        </w:rPr>
        <w:t> </w:t>
      </w:r>
      <w:r>
        <w:rPr>
          <w:sz w:val="22"/>
        </w:rPr>
        <w:t>on</w:t>
      </w:r>
      <w:r>
        <w:rPr>
          <w:spacing w:val="26"/>
          <w:sz w:val="22"/>
        </w:rPr>
        <w:t> </w:t>
      </w:r>
      <w:r>
        <w:rPr>
          <w:sz w:val="22"/>
        </w:rPr>
        <w:t>highways</w:t>
      </w:r>
      <w:r>
        <w:rPr>
          <w:spacing w:val="27"/>
          <w:sz w:val="22"/>
        </w:rPr>
        <w:t> </w:t>
      </w:r>
      <w:r>
        <w:rPr>
          <w:sz w:val="22"/>
        </w:rPr>
        <w:t>and in downtown areas. </w:t>
      </w:r>
      <w:r>
        <w:rPr>
          <w:i/>
          <w:sz w:val="22"/>
        </w:rPr>
        <w:t>The science of the total environment</w:t>
      </w:r>
      <w:r>
        <w:rPr>
          <w:sz w:val="22"/>
        </w:rPr>
        <w:t>, 146: 433-444.</w:t>
      </w:r>
    </w:p>
    <w:p>
      <w:pPr>
        <w:pStyle w:val="BodyText"/>
        <w:spacing w:before="8"/>
      </w:pPr>
    </w:p>
    <w:p>
      <w:pPr>
        <w:spacing w:line="244" w:lineRule="auto" w:before="1"/>
        <w:ind w:left="1342" w:right="896" w:hanging="677"/>
        <w:jc w:val="both"/>
        <w:rPr>
          <w:sz w:val="22"/>
        </w:rPr>
      </w:pPr>
      <w:r>
        <w:rPr>
          <w:sz w:val="22"/>
        </w:rPr>
        <w:t>Ryter, S.W., Morse, D. and Choi, A.M. (2004). Carbon Monoxide: To boldly go where NO has gone before. </w:t>
      </w:r>
      <w:r>
        <w:rPr>
          <w:i/>
          <w:sz w:val="22"/>
        </w:rPr>
        <w:t>Science’s Signal Transduction</w:t>
      </w:r>
      <w:r>
        <w:rPr>
          <w:i/>
          <w:spacing w:val="40"/>
          <w:sz w:val="22"/>
        </w:rPr>
        <w:t> </w:t>
      </w:r>
      <w:r>
        <w:rPr>
          <w:i/>
          <w:sz w:val="22"/>
        </w:rPr>
        <w:t>Knowledge Environment</w:t>
      </w:r>
      <w:r>
        <w:rPr>
          <w:sz w:val="22"/>
        </w:rPr>
        <w:t>,</w:t>
      </w:r>
      <w:r>
        <w:rPr>
          <w:spacing w:val="40"/>
          <w:sz w:val="22"/>
        </w:rPr>
        <w:t> </w:t>
      </w:r>
      <w:r>
        <w:rPr>
          <w:sz w:val="22"/>
        </w:rPr>
        <w:t>230: RE6.</w:t>
      </w:r>
    </w:p>
    <w:p>
      <w:pPr>
        <w:pStyle w:val="BodyText"/>
        <w:spacing w:before="9"/>
      </w:pPr>
    </w:p>
    <w:p>
      <w:pPr>
        <w:pStyle w:val="BodyText"/>
        <w:spacing w:line="244" w:lineRule="auto"/>
        <w:ind w:left="1342" w:right="895" w:hanging="677"/>
        <w:jc w:val="both"/>
      </w:pPr>
      <w:r>
        <w:rPr/>
        <w:t>Rodkey, F.L., Hill, T.A., Pitts, L.L. and Robertson, R.F. (1979). Spectrophotometric measurement of carboxyhaemoglobin and methaemoglobin in blood</w:t>
      </w:r>
      <w:r>
        <w:rPr>
          <w:i/>
        </w:rPr>
        <w:t>. Clinical Chemistry, </w:t>
      </w:r>
      <w:r>
        <w:rPr/>
        <w:t>25: 1388-1393.</w:t>
      </w:r>
    </w:p>
    <w:p>
      <w:pPr>
        <w:pStyle w:val="BodyText"/>
        <w:spacing w:before="10"/>
      </w:pPr>
    </w:p>
    <w:p>
      <w:pPr>
        <w:pStyle w:val="BodyText"/>
        <w:spacing w:line="249" w:lineRule="auto"/>
        <w:ind w:left="1342" w:right="904" w:hanging="677"/>
        <w:jc w:val="both"/>
      </w:pPr>
      <w:r>
        <w:rPr/>
        <w:t>Samuel, H. and Micha, M. (2007). Prospective study of accidental carbon monoxide poisoning in 38 Swiss soldiers. </w:t>
      </w:r>
      <w:r>
        <w:rPr>
          <w:i/>
        </w:rPr>
        <w:t>Swiss Medical Journal, </w:t>
      </w:r>
      <w:r>
        <w:rPr/>
        <w:t>135: 398-406.</w:t>
      </w:r>
    </w:p>
    <w:p>
      <w:pPr>
        <w:pStyle w:val="BodyText"/>
        <w:spacing w:before="3"/>
      </w:pPr>
    </w:p>
    <w:p>
      <w:pPr>
        <w:spacing w:line="244" w:lineRule="auto" w:before="0"/>
        <w:ind w:left="1342" w:right="896" w:hanging="677"/>
        <w:jc w:val="both"/>
        <w:rPr>
          <w:sz w:val="22"/>
        </w:rPr>
      </w:pPr>
      <w:r>
        <w:rPr>
          <w:sz w:val="22"/>
        </w:rPr>
        <w:t>Schwela, D. (2000). Air pollution and health in urban areas. </w:t>
      </w:r>
      <w:r>
        <w:rPr>
          <w:i/>
          <w:sz w:val="22"/>
        </w:rPr>
        <w:t>Reviews on Environmental Health</w:t>
      </w:r>
      <w:r>
        <w:rPr>
          <w:sz w:val="22"/>
        </w:rPr>
        <w:t>. 15(1-2): 13-42.</w:t>
      </w:r>
    </w:p>
    <w:p>
      <w:pPr>
        <w:pStyle w:val="BodyText"/>
        <w:spacing w:before="9"/>
      </w:pPr>
    </w:p>
    <w:p>
      <w:pPr>
        <w:pStyle w:val="BodyText"/>
        <w:spacing w:line="244" w:lineRule="auto"/>
        <w:ind w:left="1342" w:right="897" w:hanging="677"/>
        <w:jc w:val="both"/>
      </w:pPr>
      <w:r>
        <w:rPr/>
        <w:t>Shriver,</w:t>
      </w:r>
      <w:r>
        <w:rPr>
          <w:spacing w:val="40"/>
        </w:rPr>
        <w:t> </w:t>
      </w:r>
      <w:r>
        <w:rPr/>
        <w:t>D.T.</w:t>
      </w:r>
      <w:r>
        <w:rPr>
          <w:spacing w:val="40"/>
        </w:rPr>
        <w:t> </w:t>
      </w:r>
      <w:r>
        <w:rPr/>
        <w:t>(1981).</w:t>
      </w:r>
      <w:r>
        <w:rPr>
          <w:spacing w:val="40"/>
        </w:rPr>
        <w:t> </w:t>
      </w:r>
      <w:r>
        <w:rPr/>
        <w:t>Activation</w:t>
      </w:r>
      <w:r>
        <w:rPr>
          <w:spacing w:val="40"/>
        </w:rPr>
        <w:t> </w:t>
      </w:r>
      <w:r>
        <w:rPr/>
        <w:t>of</w:t>
      </w:r>
      <w:r>
        <w:rPr>
          <w:spacing w:val="40"/>
        </w:rPr>
        <w:t> </w:t>
      </w:r>
      <w:r>
        <w:rPr/>
        <w:t>carbon</w:t>
      </w:r>
      <w:r>
        <w:rPr>
          <w:spacing w:val="40"/>
        </w:rPr>
        <w:t> </w:t>
      </w:r>
      <w:r>
        <w:rPr/>
        <w:t>monoxide</w:t>
      </w:r>
      <w:r>
        <w:rPr>
          <w:spacing w:val="40"/>
        </w:rPr>
        <w:t> </w:t>
      </w:r>
      <w:r>
        <w:rPr/>
        <w:t>by</w:t>
      </w:r>
      <w:r>
        <w:rPr>
          <w:spacing w:val="40"/>
        </w:rPr>
        <w:t> </w:t>
      </w:r>
      <w:r>
        <w:rPr/>
        <w:t>carbon</w:t>
      </w:r>
      <w:r>
        <w:rPr>
          <w:spacing w:val="40"/>
        </w:rPr>
        <w:t> </w:t>
      </w:r>
      <w:r>
        <w:rPr/>
        <w:t>and</w:t>
      </w:r>
      <w:r>
        <w:rPr>
          <w:spacing w:val="40"/>
        </w:rPr>
        <w:t> </w:t>
      </w:r>
      <w:r>
        <w:rPr/>
        <w:t>oxygen coordination, in Catalytic Activation of Carbon Monoxide (Ford PC ed).</w:t>
      </w:r>
      <w:r>
        <w:rPr>
          <w:spacing w:val="80"/>
        </w:rPr>
        <w:t> </w:t>
      </w:r>
      <w:r>
        <w:rPr>
          <w:i/>
        </w:rPr>
        <w:t>American Chemistry Society, </w:t>
      </w:r>
      <w:r>
        <w:rPr/>
        <w:t>Washington, DC. PP. 1–18.</w:t>
      </w:r>
    </w:p>
    <w:p>
      <w:pPr>
        <w:pStyle w:val="BodyText"/>
        <w:spacing w:before="9"/>
      </w:pPr>
    </w:p>
    <w:p>
      <w:pPr>
        <w:pStyle w:val="BodyText"/>
        <w:spacing w:line="244" w:lineRule="auto" w:before="1"/>
        <w:ind w:left="1342" w:right="901" w:hanging="677"/>
        <w:jc w:val="both"/>
      </w:pPr>
      <w:r>
        <w:rPr/>
        <w:t>Song,</w:t>
      </w:r>
      <w:r>
        <w:rPr>
          <w:spacing w:val="33"/>
        </w:rPr>
        <w:t> </w:t>
      </w:r>
      <w:r>
        <w:rPr/>
        <w:t>S.Y.,</w:t>
      </w:r>
      <w:r>
        <w:rPr>
          <w:spacing w:val="33"/>
        </w:rPr>
        <w:t> </w:t>
      </w:r>
      <w:r>
        <w:rPr/>
        <w:t>Okeda,</w:t>
      </w:r>
      <w:r>
        <w:rPr>
          <w:spacing w:val="33"/>
        </w:rPr>
        <w:t> </w:t>
      </w:r>
      <w:r>
        <w:rPr/>
        <w:t>R.,</w:t>
      </w:r>
      <w:r>
        <w:rPr>
          <w:spacing w:val="33"/>
        </w:rPr>
        <w:t> </w:t>
      </w:r>
      <w:r>
        <w:rPr/>
        <w:t>Funata,</w:t>
      </w:r>
      <w:r>
        <w:rPr>
          <w:spacing w:val="33"/>
        </w:rPr>
        <w:t> </w:t>
      </w:r>
      <w:r>
        <w:rPr/>
        <w:t>N.</w:t>
      </w:r>
      <w:r>
        <w:rPr>
          <w:spacing w:val="33"/>
        </w:rPr>
        <w:t> </w:t>
      </w:r>
      <w:r>
        <w:rPr/>
        <w:t>and</w:t>
      </w:r>
      <w:r>
        <w:rPr>
          <w:spacing w:val="40"/>
        </w:rPr>
        <w:t> </w:t>
      </w:r>
      <w:r>
        <w:rPr/>
        <w:t>Higashino,</w:t>
      </w:r>
      <w:r>
        <w:rPr>
          <w:spacing w:val="33"/>
        </w:rPr>
        <w:t> </w:t>
      </w:r>
      <w:r>
        <w:rPr/>
        <w:t>F.</w:t>
      </w:r>
      <w:r>
        <w:rPr>
          <w:spacing w:val="27"/>
        </w:rPr>
        <w:t> </w:t>
      </w:r>
      <w:r>
        <w:rPr/>
        <w:t>(1983)</w:t>
      </w:r>
      <w:r>
        <w:rPr>
          <w:spacing w:val="34"/>
        </w:rPr>
        <w:t> </w:t>
      </w:r>
      <w:r>
        <w:rPr/>
        <w:t>An</w:t>
      </w:r>
      <w:r>
        <w:rPr>
          <w:spacing w:val="30"/>
        </w:rPr>
        <w:t> </w:t>
      </w:r>
      <w:r>
        <w:rPr/>
        <w:t>experimental</w:t>
      </w:r>
      <w:r>
        <w:rPr>
          <w:spacing w:val="26"/>
        </w:rPr>
        <w:t> </w:t>
      </w:r>
      <w:r>
        <w:rPr/>
        <w:t>study of the pathogenesis of the selective lesion of the globus pallidus in acute carbon monoxide poisoning in cats: with special reference to the chronologic change in</w:t>
      </w:r>
      <w:r>
        <w:rPr>
          <w:spacing w:val="40"/>
        </w:rPr>
        <w:t> </w:t>
      </w:r>
      <w:r>
        <w:rPr/>
        <w:t>the cerebral local blood flow. </w:t>
      </w:r>
      <w:r>
        <w:rPr>
          <w:i/>
        </w:rPr>
        <w:t>Acta Neuropathologica, </w:t>
      </w:r>
      <w:r>
        <w:rPr/>
        <w:t>61: 232-238.</w:t>
      </w:r>
    </w:p>
    <w:p>
      <w:pPr>
        <w:spacing w:after="0" w:line="244" w:lineRule="auto"/>
        <w:jc w:val="both"/>
        <w:sectPr>
          <w:pgSz w:w="12240" w:h="15840"/>
          <w:pgMar w:header="0" w:footer="916" w:top="1260" w:bottom="1100" w:left="1720" w:right="960"/>
        </w:sectPr>
      </w:pPr>
    </w:p>
    <w:p>
      <w:pPr>
        <w:pStyle w:val="BodyText"/>
        <w:spacing w:line="244" w:lineRule="auto" w:before="74"/>
        <w:ind w:left="1342" w:right="898" w:hanging="677"/>
        <w:jc w:val="both"/>
      </w:pPr>
      <w:r>
        <w:rPr/>
        <w:t>Stanley, A.M., Mbamali, I. and Abdulsalam A.D. (2010). Effect of fossilfuel electricity generators on indoor air quality in Kaduna Nigeria. Department of Building, Ahmadu Bello University, Zaria, Nigeria.</w:t>
      </w:r>
    </w:p>
    <w:p>
      <w:pPr>
        <w:pStyle w:val="BodyText"/>
        <w:spacing w:before="10"/>
      </w:pPr>
    </w:p>
    <w:p>
      <w:pPr>
        <w:pStyle w:val="BodyText"/>
        <w:spacing w:line="244" w:lineRule="auto"/>
        <w:ind w:left="1342" w:right="895" w:hanging="677"/>
        <w:jc w:val="both"/>
      </w:pPr>
      <w:r>
        <w:rPr/>
        <w:t>Stockard-Sullivan,</w:t>
      </w:r>
      <w:r>
        <w:rPr>
          <w:spacing w:val="40"/>
        </w:rPr>
        <w:t> </w:t>
      </w:r>
      <w:r>
        <w:rPr/>
        <w:t>J.E.,</w:t>
      </w:r>
      <w:r>
        <w:rPr>
          <w:spacing w:val="40"/>
        </w:rPr>
        <w:t> </w:t>
      </w:r>
      <w:r>
        <w:rPr/>
        <w:t>Korsak,</w:t>
      </w:r>
      <w:r>
        <w:rPr>
          <w:spacing w:val="40"/>
        </w:rPr>
        <w:t> </w:t>
      </w:r>
      <w:r>
        <w:rPr/>
        <w:t>R.A.,</w:t>
      </w:r>
      <w:r>
        <w:rPr>
          <w:spacing w:val="40"/>
        </w:rPr>
        <w:t> </w:t>
      </w:r>
      <w:r>
        <w:rPr/>
        <w:t>Webber,</w:t>
      </w:r>
      <w:r>
        <w:rPr>
          <w:spacing w:val="40"/>
        </w:rPr>
        <w:t> </w:t>
      </w:r>
      <w:r>
        <w:rPr/>
        <w:t>D.S.</w:t>
      </w:r>
      <w:r>
        <w:rPr>
          <w:spacing w:val="40"/>
        </w:rPr>
        <w:t> </w:t>
      </w:r>
      <w:r>
        <w:rPr/>
        <w:t>and</w:t>
      </w:r>
      <w:r>
        <w:rPr>
          <w:spacing w:val="40"/>
        </w:rPr>
        <w:t> </w:t>
      </w:r>
      <w:r>
        <w:rPr/>
        <w:t>Edmond,</w:t>
      </w:r>
      <w:r>
        <w:rPr>
          <w:spacing w:val="40"/>
        </w:rPr>
        <w:t> </w:t>
      </w:r>
      <w:r>
        <w:rPr/>
        <w:t>J.</w:t>
      </w:r>
      <w:r>
        <w:rPr>
          <w:spacing w:val="40"/>
        </w:rPr>
        <w:t> </w:t>
      </w:r>
      <w:r>
        <w:rPr/>
        <w:t>(2003).</w:t>
      </w:r>
      <w:r>
        <w:rPr>
          <w:spacing w:val="40"/>
        </w:rPr>
        <w:t> </w:t>
      </w:r>
      <w:r>
        <w:rPr/>
        <w:t>Mild carbon</w:t>
      </w:r>
      <w:r>
        <w:rPr>
          <w:spacing w:val="30"/>
        </w:rPr>
        <w:t> </w:t>
      </w:r>
      <w:r>
        <w:rPr/>
        <w:t>monoxide</w:t>
      </w:r>
      <w:r>
        <w:rPr>
          <w:spacing w:val="33"/>
        </w:rPr>
        <w:t> </w:t>
      </w:r>
      <w:r>
        <w:rPr/>
        <w:t>exposure</w:t>
      </w:r>
      <w:r>
        <w:rPr>
          <w:spacing w:val="22"/>
        </w:rPr>
        <w:t> </w:t>
      </w:r>
      <w:r>
        <w:rPr/>
        <w:t>and</w:t>
      </w:r>
      <w:r>
        <w:rPr>
          <w:spacing w:val="36"/>
        </w:rPr>
        <w:t> </w:t>
      </w:r>
      <w:r>
        <w:rPr/>
        <w:t>auditory function</w:t>
      </w:r>
      <w:r>
        <w:rPr>
          <w:spacing w:val="30"/>
        </w:rPr>
        <w:t> </w:t>
      </w:r>
      <w:r>
        <w:rPr/>
        <w:t>in</w:t>
      </w:r>
      <w:r>
        <w:rPr>
          <w:spacing w:val="30"/>
        </w:rPr>
        <w:t> </w:t>
      </w:r>
      <w:r>
        <w:rPr/>
        <w:t>the</w:t>
      </w:r>
      <w:r>
        <w:rPr>
          <w:spacing w:val="28"/>
        </w:rPr>
        <w:t> </w:t>
      </w:r>
      <w:r>
        <w:rPr/>
        <w:t>developing</w:t>
      </w:r>
      <w:r>
        <w:rPr>
          <w:spacing w:val="23"/>
        </w:rPr>
        <w:t> </w:t>
      </w:r>
      <w:r>
        <w:rPr/>
        <w:t>rat.</w:t>
      </w:r>
      <w:r>
        <w:rPr>
          <w:spacing w:val="38"/>
        </w:rPr>
        <w:t> </w:t>
      </w:r>
      <w:r>
        <w:rPr>
          <w:i/>
        </w:rPr>
        <w:t>Journal of Neuroscience Research</w:t>
      </w:r>
      <w:r>
        <w:rPr/>
        <w:t>, 74(5): 644-54.</w:t>
      </w:r>
    </w:p>
    <w:p>
      <w:pPr>
        <w:pStyle w:val="BodyText"/>
        <w:spacing w:before="10"/>
      </w:pPr>
    </w:p>
    <w:p>
      <w:pPr>
        <w:pStyle w:val="BodyText"/>
        <w:spacing w:line="244" w:lineRule="auto"/>
        <w:ind w:left="1342" w:right="898" w:hanging="677"/>
        <w:jc w:val="both"/>
      </w:pPr>
      <w:r>
        <w:rPr/>
        <w:t>Sunny, O., Banjoko, Olatunde, O., Masheyi, Isaiah O., Ogunkola, Mynapelli, K.C. and Sridhar. (2008). Ambient carbon monoxide and carboxy-haemoglobin levels in Ibadan City, Nigeria: A source of health inequality between developed and developing nations? </w:t>
      </w:r>
      <w:r>
        <w:rPr>
          <w:i/>
        </w:rPr>
        <w:t>Journal of Environmental Health Research</w:t>
      </w:r>
      <w:r>
        <w:rPr>
          <w:i/>
          <w:spacing w:val="40"/>
        </w:rPr>
        <w:t> </w:t>
      </w:r>
      <w:r>
        <w:rPr>
          <w:i/>
        </w:rPr>
        <w:t>(JEHR), </w:t>
      </w:r>
      <w:r>
        <w:rPr/>
        <w:t>7: 1.</w:t>
      </w:r>
    </w:p>
    <w:p>
      <w:pPr>
        <w:pStyle w:val="BodyText"/>
        <w:spacing w:before="10"/>
      </w:pPr>
    </w:p>
    <w:p>
      <w:pPr>
        <w:pStyle w:val="BodyText"/>
        <w:spacing w:line="244" w:lineRule="auto" w:before="1"/>
        <w:ind w:left="1342" w:right="900" w:hanging="624"/>
        <w:jc w:val="both"/>
      </w:pPr>
      <w:r>
        <w:rPr/>
        <w:t>Suliman, H.B., Carraway, M.S., Tatro, L.G. and Piantadosi, C.A. (2007). A new activating role for CO in cardiac mitochondrial biogenesis. </w:t>
      </w:r>
      <w:r>
        <w:rPr>
          <w:i/>
        </w:rPr>
        <w:t>Journal of Cell</w:t>
      </w:r>
      <w:r>
        <w:rPr>
          <w:i/>
          <w:spacing w:val="40"/>
        </w:rPr>
        <w:t> </w:t>
      </w:r>
      <w:r>
        <w:rPr>
          <w:i/>
        </w:rPr>
        <w:t>Science, </w:t>
      </w:r>
      <w:r>
        <w:rPr/>
        <w:t>120: 299-308.</w:t>
      </w:r>
    </w:p>
    <w:p>
      <w:pPr>
        <w:pStyle w:val="BodyText"/>
        <w:spacing w:before="9"/>
      </w:pPr>
    </w:p>
    <w:p>
      <w:pPr>
        <w:pStyle w:val="BodyText"/>
        <w:spacing w:line="247" w:lineRule="auto"/>
        <w:ind w:left="1342" w:right="904" w:hanging="677"/>
        <w:jc w:val="both"/>
      </w:pPr>
      <w:r>
        <w:rPr/>
        <w:t>Taille, C., Almolki, A. and Benhamed, M. (2003). Heme oxygenase inhibits human</w:t>
      </w:r>
      <w:r>
        <w:rPr>
          <w:spacing w:val="40"/>
        </w:rPr>
        <w:t> </w:t>
      </w:r>
      <w:r>
        <w:rPr/>
        <w:t>airway smooth muscle proliferation via a bilirubin dependent modulation of ERK1/2 phosphorylation. </w:t>
      </w:r>
      <w:r>
        <w:rPr>
          <w:i/>
        </w:rPr>
        <w:t>Journal of Biological Chemistry, </w:t>
      </w:r>
      <w:r>
        <w:rPr/>
        <w:t>278: 27160-8.</w:t>
      </w:r>
    </w:p>
    <w:p>
      <w:pPr>
        <w:pStyle w:val="BodyText"/>
        <w:spacing w:before="7"/>
      </w:pPr>
    </w:p>
    <w:p>
      <w:pPr>
        <w:pStyle w:val="BodyText"/>
        <w:spacing w:line="244" w:lineRule="auto"/>
        <w:ind w:left="1342" w:right="905" w:hanging="677"/>
        <w:jc w:val="both"/>
      </w:pPr>
      <w:r>
        <w:rPr>
          <w:color w:val="3333CC"/>
          <w:u w:val="single" w:color="3333CC"/>
        </w:rPr>
        <w:t>Tapeantong, T</w:t>
      </w:r>
      <w:r>
        <w:rPr/>
        <w:t>. and </w:t>
      </w:r>
      <w:r>
        <w:rPr>
          <w:color w:val="3333CC"/>
          <w:u w:val="single" w:color="3333CC"/>
        </w:rPr>
        <w:t>Poungvarin, N</w:t>
      </w:r>
      <w:r>
        <w:rPr/>
        <w:t>. (2009). Delayed encephalopathy and cognitive sequelae after</w:t>
      </w:r>
      <w:r>
        <w:rPr>
          <w:spacing w:val="31"/>
        </w:rPr>
        <w:t> </w:t>
      </w:r>
      <w:r>
        <w:rPr/>
        <w:t>acute carbon monoxide poisoning: report of a case and</w:t>
      </w:r>
      <w:r>
        <w:rPr>
          <w:spacing w:val="32"/>
        </w:rPr>
        <w:t> </w:t>
      </w:r>
      <w:r>
        <w:rPr/>
        <w:t>review of the literature. </w:t>
      </w:r>
      <w:r>
        <w:rPr>
          <w:i/>
          <w:color w:val="3333CC"/>
          <w:u w:val="single" w:color="3333CC"/>
        </w:rPr>
        <w:t>Journal of the Medical Association of Thailand</w:t>
      </w:r>
      <w:r>
        <w:rPr/>
        <w:t>, 92(10): 1374-9.</w:t>
      </w:r>
    </w:p>
    <w:p>
      <w:pPr>
        <w:pStyle w:val="BodyText"/>
        <w:spacing w:before="10"/>
      </w:pPr>
    </w:p>
    <w:p>
      <w:pPr>
        <w:pStyle w:val="BodyText"/>
        <w:ind w:left="665"/>
      </w:pPr>
      <w:r>
        <w:rPr/>
        <w:t>Thom,</w:t>
      </w:r>
      <w:r>
        <w:rPr>
          <w:spacing w:val="73"/>
        </w:rPr>
        <w:t> </w:t>
      </w:r>
      <w:r>
        <w:rPr/>
        <w:t>S.R.</w:t>
      </w:r>
      <w:r>
        <w:rPr>
          <w:spacing w:val="68"/>
        </w:rPr>
        <w:t> </w:t>
      </w:r>
      <w:r>
        <w:rPr/>
        <w:t>(1990).</w:t>
      </w:r>
      <w:r>
        <w:rPr>
          <w:spacing w:val="73"/>
        </w:rPr>
        <w:t> </w:t>
      </w:r>
      <w:r>
        <w:rPr/>
        <w:t>Carbon</w:t>
      </w:r>
      <w:r>
        <w:rPr>
          <w:spacing w:val="65"/>
        </w:rPr>
        <w:t> </w:t>
      </w:r>
      <w:r>
        <w:rPr/>
        <w:t>monoxide-mediated</w:t>
      </w:r>
      <w:r>
        <w:rPr>
          <w:spacing w:val="69"/>
        </w:rPr>
        <w:t> </w:t>
      </w:r>
      <w:r>
        <w:rPr/>
        <w:t>brain</w:t>
      </w:r>
      <w:r>
        <w:rPr>
          <w:spacing w:val="65"/>
        </w:rPr>
        <w:t> </w:t>
      </w:r>
      <w:r>
        <w:rPr/>
        <w:t>lipid</w:t>
      </w:r>
      <w:r>
        <w:rPr>
          <w:spacing w:val="69"/>
        </w:rPr>
        <w:t> </w:t>
      </w:r>
      <w:r>
        <w:rPr/>
        <w:t>peroxidation</w:t>
      </w:r>
      <w:r>
        <w:rPr>
          <w:spacing w:val="64"/>
        </w:rPr>
        <w:t> </w:t>
      </w:r>
      <w:r>
        <w:rPr/>
        <w:t>in</w:t>
      </w:r>
      <w:r>
        <w:rPr>
          <w:spacing w:val="65"/>
        </w:rPr>
        <w:t> </w:t>
      </w:r>
      <w:r>
        <w:rPr/>
        <w:t>the</w:t>
      </w:r>
      <w:r>
        <w:rPr>
          <w:spacing w:val="68"/>
        </w:rPr>
        <w:t> </w:t>
      </w:r>
      <w:r>
        <w:rPr>
          <w:spacing w:val="-4"/>
        </w:rPr>
        <w:t>rat.</w:t>
      </w:r>
    </w:p>
    <w:p>
      <w:pPr>
        <w:spacing w:before="6"/>
        <w:ind w:left="1342" w:right="0" w:firstLine="0"/>
        <w:jc w:val="left"/>
        <w:rPr>
          <w:sz w:val="22"/>
        </w:rPr>
      </w:pPr>
      <w:r>
        <w:rPr>
          <w:i/>
          <w:sz w:val="22"/>
        </w:rPr>
        <w:t>Journal</w:t>
      </w:r>
      <w:r>
        <w:rPr>
          <w:i/>
          <w:spacing w:val="6"/>
          <w:sz w:val="22"/>
        </w:rPr>
        <w:t> </w:t>
      </w:r>
      <w:r>
        <w:rPr>
          <w:i/>
          <w:sz w:val="22"/>
        </w:rPr>
        <w:t>of</w:t>
      </w:r>
      <w:r>
        <w:rPr>
          <w:i/>
          <w:spacing w:val="12"/>
          <w:sz w:val="22"/>
        </w:rPr>
        <w:t> </w:t>
      </w:r>
      <w:r>
        <w:rPr>
          <w:i/>
          <w:sz w:val="22"/>
        </w:rPr>
        <w:t>Applied</w:t>
      </w:r>
      <w:r>
        <w:rPr>
          <w:i/>
          <w:spacing w:val="21"/>
          <w:sz w:val="22"/>
        </w:rPr>
        <w:t> </w:t>
      </w:r>
      <w:r>
        <w:rPr>
          <w:i/>
          <w:sz w:val="22"/>
        </w:rPr>
        <w:t>Physiology,</w:t>
      </w:r>
      <w:r>
        <w:rPr>
          <w:i/>
          <w:spacing w:val="14"/>
          <w:sz w:val="22"/>
        </w:rPr>
        <w:t> </w:t>
      </w:r>
      <w:r>
        <w:rPr>
          <w:sz w:val="22"/>
        </w:rPr>
        <w:t>68:</w:t>
      </w:r>
      <w:r>
        <w:rPr>
          <w:spacing w:val="12"/>
          <w:sz w:val="22"/>
        </w:rPr>
        <w:t> </w:t>
      </w:r>
      <w:r>
        <w:rPr>
          <w:sz w:val="22"/>
        </w:rPr>
        <w:t>997-</w:t>
      </w:r>
      <w:r>
        <w:rPr>
          <w:spacing w:val="-4"/>
          <w:sz w:val="22"/>
        </w:rPr>
        <w:t>1003.</w:t>
      </w:r>
    </w:p>
    <w:p>
      <w:pPr>
        <w:pStyle w:val="BodyText"/>
        <w:spacing w:before="12"/>
      </w:pPr>
    </w:p>
    <w:p>
      <w:pPr>
        <w:pStyle w:val="BodyText"/>
        <w:spacing w:line="247" w:lineRule="auto" w:before="1"/>
        <w:ind w:left="1342" w:right="897" w:hanging="677"/>
        <w:jc w:val="both"/>
      </w:pPr>
      <w:r>
        <w:rPr/>
        <w:t>Thom,</w:t>
      </w:r>
      <w:r>
        <w:rPr>
          <w:spacing w:val="40"/>
        </w:rPr>
        <w:t> </w:t>
      </w:r>
      <w:r>
        <w:rPr/>
        <w:t>S.R.,</w:t>
      </w:r>
      <w:r>
        <w:rPr>
          <w:spacing w:val="40"/>
        </w:rPr>
        <w:t> </w:t>
      </w:r>
      <w:r>
        <w:rPr/>
        <w:t>Fisher,</w:t>
      </w:r>
      <w:r>
        <w:rPr>
          <w:spacing w:val="40"/>
        </w:rPr>
        <w:t> </w:t>
      </w:r>
      <w:r>
        <w:rPr/>
        <w:t>D.,</w:t>
      </w:r>
      <w:r>
        <w:rPr>
          <w:spacing w:val="40"/>
        </w:rPr>
        <w:t> </w:t>
      </w:r>
      <w:r>
        <w:rPr/>
        <w:t>Xu,</w:t>
      </w:r>
      <w:r>
        <w:rPr>
          <w:spacing w:val="40"/>
        </w:rPr>
        <w:t> </w:t>
      </w:r>
      <w:r>
        <w:rPr/>
        <w:t>Y.A.,</w:t>
      </w:r>
      <w:r>
        <w:rPr>
          <w:spacing w:val="40"/>
        </w:rPr>
        <w:t> </w:t>
      </w:r>
      <w:r>
        <w:rPr/>
        <w:t>Garner,</w:t>
      </w:r>
      <w:r>
        <w:rPr>
          <w:spacing w:val="40"/>
        </w:rPr>
        <w:t> </w:t>
      </w:r>
      <w:r>
        <w:rPr/>
        <w:t>S.</w:t>
      </w:r>
      <w:r>
        <w:rPr>
          <w:spacing w:val="40"/>
        </w:rPr>
        <w:t> </w:t>
      </w:r>
      <w:r>
        <w:rPr/>
        <w:t>and</w:t>
      </w:r>
      <w:r>
        <w:rPr>
          <w:spacing w:val="40"/>
        </w:rPr>
        <w:t> </w:t>
      </w:r>
      <w:r>
        <w:rPr/>
        <w:t>Ischiropoulos,</w:t>
      </w:r>
      <w:r>
        <w:rPr>
          <w:spacing w:val="40"/>
        </w:rPr>
        <w:t> </w:t>
      </w:r>
      <w:r>
        <w:rPr/>
        <w:t>H.</w:t>
      </w:r>
      <w:r>
        <w:rPr>
          <w:spacing w:val="40"/>
        </w:rPr>
        <w:t> </w:t>
      </w:r>
      <w:r>
        <w:rPr/>
        <w:t>(1999).</w:t>
      </w:r>
      <w:r>
        <w:rPr>
          <w:spacing w:val="40"/>
        </w:rPr>
        <w:t> </w:t>
      </w:r>
      <w:r>
        <w:rPr/>
        <w:t>Role</w:t>
      </w:r>
      <w:r>
        <w:rPr>
          <w:spacing w:val="40"/>
        </w:rPr>
        <w:t> </w:t>
      </w:r>
      <w:r>
        <w:rPr/>
        <w:t>of nitric oxide-derived oxidants in vascular injury from carbon monoxide in the rat. </w:t>
      </w:r>
      <w:r>
        <w:rPr>
          <w:i/>
        </w:rPr>
        <w:t>American Journal of Physiology, </w:t>
      </w:r>
      <w:r>
        <w:rPr/>
        <w:t>276: 984-992.</w:t>
      </w:r>
    </w:p>
    <w:p>
      <w:pPr>
        <w:pStyle w:val="BodyText"/>
        <w:spacing w:before="6"/>
      </w:pPr>
    </w:p>
    <w:p>
      <w:pPr>
        <w:pStyle w:val="BodyText"/>
        <w:spacing w:before="1"/>
        <w:ind w:left="1342" w:right="904" w:hanging="677"/>
        <w:jc w:val="both"/>
      </w:pPr>
      <w:r>
        <w:rPr/>
        <w:t>Thomas, T. (2000). Monoamine oxidase-B-inhibitors in the treatment of Alzheimer's disease. </w:t>
      </w:r>
      <w:r>
        <w:rPr>
          <w:i/>
        </w:rPr>
        <w:t>Nuerobiology of Aging, </w:t>
      </w:r>
      <w:r>
        <w:rPr/>
        <w:t>21(2): 343–348.</w:t>
      </w:r>
    </w:p>
    <w:p>
      <w:pPr>
        <w:pStyle w:val="BodyText"/>
        <w:spacing w:before="13"/>
      </w:pPr>
    </w:p>
    <w:p>
      <w:pPr>
        <w:pStyle w:val="BodyText"/>
        <w:spacing w:line="244" w:lineRule="auto"/>
        <w:ind w:left="1342" w:right="903" w:hanging="677"/>
        <w:jc w:val="both"/>
      </w:pPr>
      <w:r>
        <w:rPr/>
        <w:t>Thomsen, H.K. (1974). Carbon monoxide-induced atherosclerosis in primates: an</w:t>
      </w:r>
      <w:r>
        <w:rPr>
          <w:spacing w:val="40"/>
        </w:rPr>
        <w:t> </w:t>
      </w:r>
      <w:r>
        <w:rPr/>
        <w:t>electron-microscopic study on the coronary arteries of </w:t>
      </w:r>
      <w:r>
        <w:rPr>
          <w:i/>
        </w:rPr>
        <w:t>Macaca irus </w:t>
      </w:r>
      <w:r>
        <w:rPr/>
        <w:t>monkeys. </w:t>
      </w:r>
      <w:r>
        <w:rPr>
          <w:i/>
        </w:rPr>
        <w:t>Atherosclerosis</w:t>
      </w:r>
      <w:r>
        <w:rPr/>
        <w:t>, 20: 233-240.</w:t>
      </w:r>
    </w:p>
    <w:p>
      <w:pPr>
        <w:pStyle w:val="BodyText"/>
        <w:spacing w:before="15"/>
      </w:pPr>
    </w:p>
    <w:p>
      <w:pPr>
        <w:pStyle w:val="BodyText"/>
        <w:spacing w:line="244" w:lineRule="auto"/>
        <w:ind w:left="1342" w:right="897" w:hanging="677"/>
        <w:jc w:val="both"/>
      </w:pPr>
      <w:r>
        <w:rPr/>
        <w:t>Townsend and Maynard R.I. (2002). Effects on health of prolonged exposure to low concentrations of carbon monoxide. Occupational and Environmental Medicine, 59(10): 708-711.</w:t>
      </w:r>
    </w:p>
    <w:p>
      <w:pPr>
        <w:pStyle w:val="BodyText"/>
        <w:spacing w:before="9"/>
      </w:pPr>
    </w:p>
    <w:p>
      <w:pPr>
        <w:pStyle w:val="BodyText"/>
        <w:spacing w:line="244" w:lineRule="auto" w:before="1"/>
        <w:ind w:left="1342" w:right="896" w:hanging="677"/>
        <w:jc w:val="both"/>
      </w:pPr>
      <w:r>
        <w:rPr/>
        <w:t>Tvedt,</w:t>
      </w:r>
      <w:r>
        <w:rPr>
          <w:spacing w:val="30"/>
        </w:rPr>
        <w:t> </w:t>
      </w:r>
      <w:r>
        <w:rPr/>
        <w:t>B.</w:t>
      </w:r>
      <w:r>
        <w:rPr>
          <w:spacing w:val="25"/>
        </w:rPr>
        <w:t> </w:t>
      </w:r>
      <w:r>
        <w:rPr/>
        <w:t>and</w:t>
      </w:r>
      <w:r>
        <w:rPr>
          <w:spacing w:val="32"/>
        </w:rPr>
        <w:t> </w:t>
      </w:r>
      <w:r>
        <w:rPr/>
        <w:t>Kjuus</w:t>
      </w:r>
      <w:r>
        <w:rPr>
          <w:spacing w:val="22"/>
        </w:rPr>
        <w:t> </w:t>
      </w:r>
      <w:r>
        <w:rPr/>
        <w:t>H.</w:t>
      </w:r>
      <w:r>
        <w:rPr>
          <w:spacing w:val="31"/>
        </w:rPr>
        <w:t> </w:t>
      </w:r>
      <w:r>
        <w:rPr/>
        <w:t>(1997).</w:t>
      </w:r>
      <w:r>
        <w:rPr>
          <w:spacing w:val="25"/>
        </w:rPr>
        <w:t> </w:t>
      </w:r>
      <w:r>
        <w:rPr/>
        <w:t>Chronic</w:t>
      </w:r>
      <w:r>
        <w:rPr>
          <w:spacing w:val="25"/>
        </w:rPr>
        <w:t> </w:t>
      </w:r>
      <w:r>
        <w:rPr/>
        <w:t>Carbon</w:t>
      </w:r>
      <w:r>
        <w:rPr>
          <w:spacing w:val="22"/>
        </w:rPr>
        <w:t> </w:t>
      </w:r>
      <w:r>
        <w:rPr/>
        <w:t>monoxide</w:t>
      </w:r>
      <w:r>
        <w:rPr>
          <w:spacing w:val="24"/>
        </w:rPr>
        <w:t> </w:t>
      </w:r>
      <w:r>
        <w:rPr/>
        <w:t>poisoning.</w:t>
      </w:r>
      <w:r>
        <w:rPr>
          <w:spacing w:val="25"/>
        </w:rPr>
        <w:t> </w:t>
      </w:r>
      <w:r>
        <w:rPr/>
        <w:t>Use</w:t>
      </w:r>
      <w:r>
        <w:rPr>
          <w:spacing w:val="24"/>
        </w:rPr>
        <w:t> </w:t>
      </w:r>
      <w:r>
        <w:rPr/>
        <w:t>of</w:t>
      </w:r>
      <w:r>
        <w:rPr>
          <w:spacing w:val="25"/>
        </w:rPr>
        <w:t> </w:t>
      </w:r>
      <w:r>
        <w:rPr/>
        <w:t>generator as during the second World War and recent research. </w:t>
      </w:r>
      <w:r>
        <w:rPr>
          <w:i/>
        </w:rPr>
        <w:t>Tidsskr Nor Laegeforen</w:t>
      </w:r>
      <w:r>
        <w:rPr/>
        <w:t>, 117(17): 2454-2457.</w:t>
      </w:r>
    </w:p>
    <w:p>
      <w:pPr>
        <w:spacing w:after="0" w:line="244" w:lineRule="auto"/>
        <w:jc w:val="both"/>
        <w:sectPr>
          <w:pgSz w:w="12240" w:h="15840"/>
          <w:pgMar w:header="0" w:footer="916" w:top="1520" w:bottom="1100" w:left="1720" w:right="960"/>
        </w:sectPr>
      </w:pPr>
    </w:p>
    <w:p>
      <w:pPr>
        <w:pStyle w:val="BodyText"/>
        <w:spacing w:line="244" w:lineRule="auto" w:before="75"/>
        <w:ind w:left="1342" w:right="901" w:hanging="677"/>
        <w:jc w:val="both"/>
      </w:pPr>
      <w:r>
        <w:rPr/>
        <w:t>United States Air Quality Guidelines (AQG). (2000). Chapter 5.5 Carbon monoxide; </w:t>
      </w:r>
      <w:r>
        <w:rPr>
          <w:i/>
        </w:rPr>
        <w:t>World Health Organization (WHO) </w:t>
      </w:r>
      <w:r>
        <w:rPr/>
        <w:t>Regional Office for Europe, Copenhagen, Denmark, Second Edition.</w:t>
      </w:r>
    </w:p>
    <w:p>
      <w:pPr>
        <w:pStyle w:val="BodyText"/>
        <w:spacing w:before="10"/>
      </w:pPr>
    </w:p>
    <w:p>
      <w:pPr>
        <w:pStyle w:val="BodyText"/>
        <w:spacing w:line="244" w:lineRule="auto"/>
        <w:ind w:left="1342" w:right="895" w:hanging="677"/>
        <w:jc w:val="both"/>
      </w:pPr>
      <w:r>
        <w:rPr/>
        <w:t>United States National Ambient Air Quality Standards (NAAQS). (2011). Air quality criteria</w:t>
      </w:r>
      <w:r>
        <w:rPr>
          <w:spacing w:val="40"/>
        </w:rPr>
        <w:t> </w:t>
      </w:r>
      <w:r>
        <w:rPr/>
        <w:t>for</w:t>
      </w:r>
      <w:r>
        <w:rPr>
          <w:spacing w:val="40"/>
        </w:rPr>
        <w:t> </w:t>
      </w:r>
      <w:r>
        <w:rPr/>
        <w:t>carbon</w:t>
      </w:r>
      <w:r>
        <w:rPr>
          <w:spacing w:val="40"/>
        </w:rPr>
        <w:t> </w:t>
      </w:r>
      <w:r>
        <w:rPr/>
        <w:t>monoxide:</w:t>
      </w:r>
      <w:r>
        <w:rPr>
          <w:spacing w:val="40"/>
        </w:rPr>
        <w:t> </w:t>
      </w:r>
      <w:r>
        <w:rPr/>
        <w:t>Office</w:t>
      </w:r>
      <w:r>
        <w:rPr>
          <w:spacing w:val="40"/>
        </w:rPr>
        <w:t> </w:t>
      </w:r>
      <w:r>
        <w:rPr/>
        <w:t>of</w:t>
      </w:r>
      <w:r>
        <w:rPr>
          <w:spacing w:val="40"/>
        </w:rPr>
        <w:t> </w:t>
      </w:r>
      <w:r>
        <w:rPr/>
        <w:t>Research</w:t>
      </w:r>
      <w:r>
        <w:rPr>
          <w:spacing w:val="40"/>
        </w:rPr>
        <w:t> </w:t>
      </w:r>
      <w:r>
        <w:rPr/>
        <w:t>and</w:t>
      </w:r>
      <w:r>
        <w:rPr>
          <w:spacing w:val="40"/>
        </w:rPr>
        <w:t> </w:t>
      </w:r>
      <w:r>
        <w:rPr/>
        <w:t>Development, Washington, DC: </w:t>
      </w:r>
      <w:r>
        <w:rPr>
          <w:i/>
        </w:rPr>
        <w:t>Environmental Protection Agency (EPA)</w:t>
      </w:r>
      <w:r>
        <w:rPr/>
        <w:t>.</w:t>
      </w:r>
    </w:p>
    <w:p>
      <w:pPr>
        <w:pStyle w:val="BodyText"/>
        <w:spacing w:before="9"/>
      </w:pPr>
    </w:p>
    <w:p>
      <w:pPr>
        <w:spacing w:line="244" w:lineRule="auto" w:before="1"/>
        <w:ind w:left="1342" w:right="897" w:hanging="677"/>
        <w:jc w:val="both"/>
        <w:rPr>
          <w:sz w:val="22"/>
        </w:rPr>
      </w:pPr>
      <w:r>
        <w:rPr>
          <w:sz w:val="22"/>
        </w:rPr>
        <w:t>United</w:t>
      </w:r>
      <w:r>
        <w:rPr>
          <w:spacing w:val="40"/>
          <w:sz w:val="22"/>
        </w:rPr>
        <w:t> </w:t>
      </w:r>
      <w:r>
        <w:rPr>
          <w:sz w:val="22"/>
        </w:rPr>
        <w:t>States</w:t>
      </w:r>
      <w:r>
        <w:rPr>
          <w:spacing w:val="40"/>
          <w:sz w:val="22"/>
        </w:rPr>
        <w:t> </w:t>
      </w:r>
      <w:r>
        <w:rPr>
          <w:sz w:val="22"/>
        </w:rPr>
        <w:t>Environmental</w:t>
      </w:r>
      <w:r>
        <w:rPr>
          <w:spacing w:val="40"/>
          <w:sz w:val="22"/>
        </w:rPr>
        <w:t> </w:t>
      </w:r>
      <w:r>
        <w:rPr>
          <w:sz w:val="22"/>
        </w:rPr>
        <w:t>Protection</w:t>
      </w:r>
      <w:r>
        <w:rPr>
          <w:spacing w:val="80"/>
          <w:sz w:val="22"/>
        </w:rPr>
        <w:t> </w:t>
      </w:r>
      <w:r>
        <w:rPr>
          <w:sz w:val="22"/>
        </w:rPr>
        <w:t>Agency</w:t>
      </w:r>
      <w:r>
        <w:rPr>
          <w:spacing w:val="40"/>
          <w:sz w:val="22"/>
        </w:rPr>
        <w:t> </w:t>
      </w:r>
      <w:r>
        <w:rPr>
          <w:sz w:val="22"/>
        </w:rPr>
        <w:t>(EPA).</w:t>
      </w:r>
      <w:r>
        <w:rPr>
          <w:spacing w:val="40"/>
          <w:sz w:val="22"/>
        </w:rPr>
        <w:t> </w:t>
      </w:r>
      <w:r>
        <w:rPr>
          <w:sz w:val="22"/>
        </w:rPr>
        <w:t>(2011).</w:t>
      </w:r>
      <w:r>
        <w:rPr>
          <w:spacing w:val="40"/>
          <w:sz w:val="22"/>
        </w:rPr>
        <w:t> </w:t>
      </w:r>
      <w:r>
        <w:rPr>
          <w:sz w:val="22"/>
        </w:rPr>
        <w:t>Outomobiles Emissions: An Overview. </w:t>
      </w:r>
      <w:r>
        <w:rPr>
          <w:i/>
          <w:sz w:val="22"/>
        </w:rPr>
        <w:t>In Air and Radiation; Fact Sheet OMS- 5</w:t>
      </w:r>
      <w:r>
        <w:rPr>
          <w:sz w:val="22"/>
        </w:rPr>
        <w:t>; 400-F-92- </w:t>
      </w:r>
      <w:r>
        <w:rPr>
          <w:spacing w:val="-4"/>
          <w:sz w:val="22"/>
        </w:rPr>
        <w:t>007.</w:t>
      </w:r>
    </w:p>
    <w:p>
      <w:pPr>
        <w:pStyle w:val="BodyText"/>
        <w:spacing w:before="9"/>
      </w:pPr>
    </w:p>
    <w:p>
      <w:pPr>
        <w:spacing w:line="244" w:lineRule="auto" w:before="0"/>
        <w:ind w:left="1342" w:right="896" w:hanging="677"/>
        <w:jc w:val="both"/>
        <w:rPr>
          <w:sz w:val="22"/>
        </w:rPr>
      </w:pPr>
      <w:r>
        <w:rPr>
          <w:sz w:val="22"/>
        </w:rPr>
        <w:t>United</w:t>
      </w:r>
      <w:r>
        <w:rPr>
          <w:spacing w:val="40"/>
          <w:sz w:val="22"/>
        </w:rPr>
        <w:t> </w:t>
      </w:r>
      <w:r>
        <w:rPr>
          <w:sz w:val="22"/>
        </w:rPr>
        <w:t>States</w:t>
      </w:r>
      <w:r>
        <w:rPr>
          <w:spacing w:val="40"/>
          <w:sz w:val="22"/>
        </w:rPr>
        <w:t> </w:t>
      </w:r>
      <w:r>
        <w:rPr>
          <w:sz w:val="22"/>
        </w:rPr>
        <w:t>Air</w:t>
      </w:r>
      <w:r>
        <w:rPr>
          <w:spacing w:val="40"/>
          <w:sz w:val="22"/>
        </w:rPr>
        <w:t> </w:t>
      </w:r>
      <w:r>
        <w:rPr>
          <w:sz w:val="22"/>
        </w:rPr>
        <w:t>Quality</w:t>
      </w:r>
      <w:r>
        <w:rPr>
          <w:spacing w:val="31"/>
          <w:sz w:val="22"/>
        </w:rPr>
        <w:t> </w:t>
      </w:r>
      <w:r>
        <w:rPr>
          <w:sz w:val="22"/>
        </w:rPr>
        <w:t>Criteria,</w:t>
      </w:r>
      <w:r>
        <w:rPr>
          <w:spacing w:val="40"/>
          <w:sz w:val="22"/>
        </w:rPr>
        <w:t> </w:t>
      </w:r>
      <w:r>
        <w:rPr>
          <w:sz w:val="22"/>
        </w:rPr>
        <w:t>EPA.</w:t>
      </w:r>
      <w:r>
        <w:rPr>
          <w:spacing w:val="40"/>
          <w:sz w:val="22"/>
        </w:rPr>
        <w:t> </w:t>
      </w:r>
      <w:r>
        <w:rPr>
          <w:sz w:val="22"/>
        </w:rPr>
        <w:t>(1991).</w:t>
      </w:r>
      <w:r>
        <w:rPr>
          <w:spacing w:val="40"/>
          <w:sz w:val="22"/>
        </w:rPr>
        <w:t> </w:t>
      </w:r>
      <w:r>
        <w:rPr>
          <w:sz w:val="22"/>
        </w:rPr>
        <w:t>Carbon</w:t>
      </w:r>
      <w:r>
        <w:rPr>
          <w:spacing w:val="40"/>
          <w:sz w:val="22"/>
        </w:rPr>
        <w:t> </w:t>
      </w:r>
      <w:r>
        <w:rPr>
          <w:sz w:val="22"/>
        </w:rPr>
        <w:t>monoxide.</w:t>
      </w:r>
      <w:r>
        <w:rPr>
          <w:spacing w:val="40"/>
          <w:sz w:val="22"/>
        </w:rPr>
        <w:t> </w:t>
      </w:r>
      <w:r>
        <w:rPr>
          <w:i/>
          <w:sz w:val="22"/>
        </w:rPr>
        <w:t>Washington,</w:t>
      </w:r>
      <w:r>
        <w:rPr>
          <w:i/>
          <w:spacing w:val="40"/>
          <w:sz w:val="22"/>
        </w:rPr>
        <w:t> </w:t>
      </w:r>
      <w:r>
        <w:rPr>
          <w:i/>
          <w:sz w:val="22"/>
        </w:rPr>
        <w:t>DC. Air Quality</w:t>
      </w:r>
      <w:r>
        <w:rPr>
          <w:i/>
          <w:spacing w:val="35"/>
          <w:sz w:val="22"/>
        </w:rPr>
        <w:t> </w:t>
      </w:r>
      <w:r>
        <w:rPr>
          <w:i/>
          <w:sz w:val="22"/>
        </w:rPr>
        <w:t>Criteria</w:t>
      </w:r>
      <w:r>
        <w:rPr>
          <w:i/>
          <w:spacing w:val="40"/>
          <w:sz w:val="22"/>
        </w:rPr>
        <w:t> </w:t>
      </w:r>
      <w:r>
        <w:rPr>
          <w:i/>
          <w:sz w:val="22"/>
        </w:rPr>
        <w:t>(AQC),</w:t>
      </w:r>
      <w:r>
        <w:rPr>
          <w:i/>
          <w:spacing w:val="40"/>
          <w:sz w:val="22"/>
        </w:rPr>
        <w:t> </w:t>
      </w:r>
      <w:r>
        <w:rPr>
          <w:sz w:val="22"/>
        </w:rPr>
        <w:t>Office</w:t>
      </w:r>
      <w:r>
        <w:rPr>
          <w:spacing w:val="40"/>
          <w:sz w:val="22"/>
        </w:rPr>
        <w:t> </w:t>
      </w:r>
      <w:r>
        <w:rPr>
          <w:sz w:val="22"/>
        </w:rPr>
        <w:t>of</w:t>
      </w:r>
      <w:r>
        <w:rPr>
          <w:spacing w:val="36"/>
          <w:sz w:val="22"/>
        </w:rPr>
        <w:t> </w:t>
      </w:r>
      <w:r>
        <w:rPr>
          <w:sz w:val="22"/>
        </w:rPr>
        <w:t>Research</w:t>
      </w:r>
      <w:r>
        <w:rPr>
          <w:spacing w:val="40"/>
          <w:sz w:val="22"/>
        </w:rPr>
        <w:t> </w:t>
      </w:r>
      <w:r>
        <w:rPr>
          <w:sz w:val="22"/>
        </w:rPr>
        <w:t>and</w:t>
      </w:r>
      <w:r>
        <w:rPr>
          <w:spacing w:val="40"/>
          <w:sz w:val="22"/>
        </w:rPr>
        <w:t> </w:t>
      </w:r>
      <w:r>
        <w:rPr>
          <w:sz w:val="22"/>
        </w:rPr>
        <w:t>Development.</w:t>
      </w:r>
      <w:r>
        <w:rPr>
          <w:spacing w:val="40"/>
          <w:sz w:val="22"/>
        </w:rPr>
        <w:t> </w:t>
      </w:r>
      <w:r>
        <w:rPr>
          <w:sz w:val="22"/>
        </w:rPr>
        <w:t>Publication no. EPA-600/B-90/045F.</w:t>
      </w:r>
    </w:p>
    <w:p>
      <w:pPr>
        <w:pStyle w:val="BodyText"/>
        <w:spacing w:before="10"/>
      </w:pPr>
    </w:p>
    <w:p>
      <w:pPr>
        <w:pStyle w:val="BodyText"/>
        <w:spacing w:line="249" w:lineRule="auto"/>
        <w:ind w:left="1342" w:right="904" w:hanging="677"/>
        <w:jc w:val="both"/>
      </w:pPr>
      <w:r>
        <w:rPr/>
        <w:t>UNFPA. State of world population 2007: unleashing the potential of urban growth. &lt; </w:t>
      </w:r>
      <w:hyperlink r:id="rId17">
        <w:r>
          <w:rPr>
            <w:spacing w:val="-2"/>
          </w:rPr>
          <w:t>http://www.unfpa.org/swp/2007/english/introduction.html&gt;</w:t>
        </w:r>
      </w:hyperlink>
      <w:r>
        <w:rPr>
          <w:spacing w:val="-2"/>
        </w:rPr>
        <w:t>.</w:t>
      </w:r>
    </w:p>
    <w:p>
      <w:pPr>
        <w:pStyle w:val="BodyText"/>
        <w:spacing w:before="3"/>
      </w:pPr>
    </w:p>
    <w:p>
      <w:pPr>
        <w:pStyle w:val="BodyText"/>
        <w:spacing w:line="244" w:lineRule="auto"/>
        <w:ind w:left="1342" w:right="900" w:hanging="677"/>
        <w:jc w:val="both"/>
      </w:pPr>
      <w:r>
        <w:rPr/>
        <w:t>United States Consumer Products Safety Commission (CPSC) (2002). Incidents, deaths, and in-depth investigations associated with carbon monoxide and engine driven tools, CPSC Release No. 01-069. Available at: </w:t>
      </w:r>
      <w:hyperlink r:id="rId18">
        <w:r>
          <w:rPr>
            <w:spacing w:val="-2"/>
          </w:rPr>
          <w:t>www.cpsc.gov/library/foia/foia03/os/weather.pdf.</w:t>
        </w:r>
      </w:hyperlink>
    </w:p>
    <w:p>
      <w:pPr>
        <w:pStyle w:val="BodyText"/>
        <w:spacing w:before="11"/>
      </w:pPr>
    </w:p>
    <w:p>
      <w:pPr>
        <w:pStyle w:val="BodyText"/>
        <w:spacing w:line="244" w:lineRule="auto"/>
        <w:ind w:left="1342" w:right="907" w:hanging="677"/>
        <w:jc w:val="both"/>
      </w:pPr>
      <w:r>
        <w:rPr/>
        <w:t>United States Environmental Protection Agency. (2007). "Mobile Source Emissions - Pollutants". &lt;</w:t>
      </w:r>
      <w:hyperlink r:id="rId19">
        <w:r>
          <w:rPr/>
          <w:t>http://www.epa.gov/otaq/invntory/overview/pollutants</w:t>
        </w:r>
      </w:hyperlink>
      <w:r>
        <w:rPr/>
        <w:t>&gt;.</w:t>
      </w:r>
    </w:p>
    <w:p>
      <w:pPr>
        <w:pStyle w:val="BodyText"/>
        <w:spacing w:before="8"/>
      </w:pPr>
    </w:p>
    <w:p>
      <w:pPr>
        <w:pStyle w:val="BodyText"/>
        <w:spacing w:line="244" w:lineRule="auto" w:before="1"/>
        <w:ind w:left="1342" w:right="903" w:hanging="677"/>
        <w:jc w:val="both"/>
      </w:pPr>
      <w:r>
        <w:rPr/>
        <w:t>Walker, S.M., Ackland, T.R. and Dawson, B., (2001). The combined effects of heat and carbon monoxide in the performance of motor sport athletes comparative Biochemistry</w:t>
      </w:r>
      <w:r>
        <w:rPr>
          <w:spacing w:val="1"/>
        </w:rPr>
        <w:t> </w:t>
      </w:r>
      <w:r>
        <w:rPr/>
        <w:t>and</w:t>
      </w:r>
      <w:r>
        <w:rPr>
          <w:spacing w:val="19"/>
        </w:rPr>
        <w:t> </w:t>
      </w:r>
      <w:r>
        <w:rPr/>
        <w:t>Physiology</w:t>
      </w:r>
      <w:r>
        <w:rPr>
          <w:spacing w:val="2"/>
        </w:rPr>
        <w:t> </w:t>
      </w:r>
      <w:r>
        <w:rPr/>
        <w:t>Part</w:t>
      </w:r>
      <w:r>
        <w:rPr>
          <w:spacing w:val="16"/>
        </w:rPr>
        <w:t> </w:t>
      </w:r>
      <w:r>
        <w:rPr/>
        <w:t>A.</w:t>
      </w:r>
      <w:r>
        <w:rPr>
          <w:spacing w:val="24"/>
        </w:rPr>
        <w:t> </w:t>
      </w:r>
      <w:r>
        <w:rPr>
          <w:i/>
        </w:rPr>
        <w:t>Molecular</w:t>
      </w:r>
      <w:r>
        <w:rPr>
          <w:i/>
          <w:spacing w:val="10"/>
        </w:rPr>
        <w:t> </w:t>
      </w:r>
      <w:r>
        <w:rPr>
          <w:i/>
        </w:rPr>
        <w:t>and</w:t>
      </w:r>
      <w:r>
        <w:rPr>
          <w:i/>
          <w:spacing w:val="20"/>
        </w:rPr>
        <w:t> </w:t>
      </w:r>
      <w:r>
        <w:rPr>
          <w:i/>
        </w:rPr>
        <w:t>Integrative</w:t>
      </w:r>
      <w:r>
        <w:rPr>
          <w:i/>
          <w:spacing w:val="18"/>
        </w:rPr>
        <w:t> </w:t>
      </w:r>
      <w:r>
        <w:rPr>
          <w:i/>
        </w:rPr>
        <w:t>Physiology</w:t>
      </w:r>
      <w:r>
        <w:rPr/>
        <w:t>,</w:t>
      </w:r>
      <w:r>
        <w:rPr>
          <w:spacing w:val="13"/>
        </w:rPr>
        <w:t> </w:t>
      </w:r>
      <w:r>
        <w:rPr>
          <w:spacing w:val="-5"/>
        </w:rPr>
        <w:t>128</w:t>
      </w:r>
    </w:p>
    <w:p>
      <w:pPr>
        <w:pStyle w:val="BodyText"/>
        <w:spacing w:before="3"/>
        <w:ind w:left="1342"/>
        <w:jc w:val="both"/>
      </w:pPr>
      <w:r>
        <w:rPr/>
        <w:t>(4):</w:t>
      </w:r>
      <w:r>
        <w:rPr>
          <w:spacing w:val="13"/>
        </w:rPr>
        <w:t> </w:t>
      </w:r>
      <w:r>
        <w:rPr/>
        <w:t>709-</w:t>
      </w:r>
      <w:r>
        <w:rPr>
          <w:spacing w:val="-5"/>
        </w:rPr>
        <w:t>18.</w:t>
      </w:r>
    </w:p>
    <w:p>
      <w:pPr>
        <w:pStyle w:val="BodyText"/>
        <w:spacing w:before="12"/>
      </w:pPr>
    </w:p>
    <w:p>
      <w:pPr>
        <w:spacing w:line="249" w:lineRule="auto" w:before="1"/>
        <w:ind w:left="1342" w:right="900" w:hanging="677"/>
        <w:jc w:val="both"/>
        <w:rPr>
          <w:sz w:val="22"/>
        </w:rPr>
      </w:pPr>
      <w:r>
        <w:rPr>
          <w:sz w:val="22"/>
        </w:rPr>
        <w:t>Weaver,</w:t>
      </w:r>
      <w:r>
        <w:rPr>
          <w:spacing w:val="40"/>
          <w:sz w:val="22"/>
        </w:rPr>
        <w:t> </w:t>
      </w:r>
      <w:r>
        <w:rPr>
          <w:sz w:val="22"/>
        </w:rPr>
        <w:t>L.K.,</w:t>
      </w:r>
      <w:r>
        <w:rPr>
          <w:spacing w:val="40"/>
          <w:sz w:val="22"/>
        </w:rPr>
        <w:t> </w:t>
      </w:r>
      <w:r>
        <w:rPr>
          <w:sz w:val="22"/>
        </w:rPr>
        <w:t>Hopkins,</w:t>
      </w:r>
      <w:r>
        <w:rPr>
          <w:spacing w:val="40"/>
          <w:sz w:val="22"/>
        </w:rPr>
        <w:t> </w:t>
      </w:r>
      <w:r>
        <w:rPr>
          <w:sz w:val="22"/>
        </w:rPr>
        <w:t>R.O.</w:t>
      </w:r>
      <w:r>
        <w:rPr>
          <w:spacing w:val="40"/>
          <w:sz w:val="22"/>
        </w:rPr>
        <w:t> </w:t>
      </w:r>
      <w:r>
        <w:rPr>
          <w:sz w:val="22"/>
        </w:rPr>
        <w:t>and</w:t>
      </w:r>
      <w:r>
        <w:rPr>
          <w:spacing w:val="40"/>
          <w:sz w:val="22"/>
        </w:rPr>
        <w:t> </w:t>
      </w:r>
      <w:r>
        <w:rPr>
          <w:sz w:val="22"/>
        </w:rPr>
        <w:t>Chan,</w:t>
      </w:r>
      <w:r>
        <w:rPr>
          <w:spacing w:val="40"/>
          <w:sz w:val="22"/>
        </w:rPr>
        <w:t> </w:t>
      </w:r>
      <w:r>
        <w:rPr>
          <w:sz w:val="22"/>
        </w:rPr>
        <w:t>K.J.</w:t>
      </w:r>
      <w:r>
        <w:rPr>
          <w:spacing w:val="40"/>
          <w:sz w:val="22"/>
        </w:rPr>
        <w:t> </w:t>
      </w:r>
      <w:r>
        <w:rPr>
          <w:sz w:val="22"/>
        </w:rPr>
        <w:t>(2002).</w:t>
      </w:r>
      <w:r>
        <w:rPr>
          <w:spacing w:val="40"/>
          <w:sz w:val="22"/>
        </w:rPr>
        <w:t> </w:t>
      </w:r>
      <w:r>
        <w:rPr>
          <w:sz w:val="22"/>
        </w:rPr>
        <w:t>Hyperbaric</w:t>
      </w:r>
      <w:r>
        <w:rPr>
          <w:spacing w:val="40"/>
          <w:sz w:val="22"/>
        </w:rPr>
        <w:t> </w:t>
      </w:r>
      <w:r>
        <w:rPr>
          <w:sz w:val="22"/>
        </w:rPr>
        <w:t>oxygen</w:t>
      </w:r>
      <w:r>
        <w:rPr>
          <w:spacing w:val="40"/>
          <w:sz w:val="22"/>
        </w:rPr>
        <w:t> </w:t>
      </w:r>
      <w:r>
        <w:rPr>
          <w:sz w:val="22"/>
        </w:rPr>
        <w:t>for</w:t>
      </w:r>
      <w:r>
        <w:rPr>
          <w:spacing w:val="40"/>
          <w:sz w:val="22"/>
        </w:rPr>
        <w:t> </w:t>
      </w:r>
      <w:r>
        <w:rPr>
          <w:sz w:val="22"/>
        </w:rPr>
        <w:t>acute carbon monoxide poisoning. </w:t>
      </w:r>
      <w:r>
        <w:rPr>
          <w:i/>
          <w:sz w:val="22"/>
        </w:rPr>
        <w:t>New England Journal of Medicine</w:t>
      </w:r>
      <w:r>
        <w:rPr>
          <w:sz w:val="22"/>
        </w:rPr>
        <w:t>, 347: 1057-67.</w:t>
      </w:r>
    </w:p>
    <w:p>
      <w:pPr>
        <w:pStyle w:val="BodyText"/>
        <w:spacing w:before="3"/>
      </w:pPr>
    </w:p>
    <w:p>
      <w:pPr>
        <w:spacing w:line="244" w:lineRule="auto" w:before="0"/>
        <w:ind w:left="1342" w:right="900" w:hanging="677"/>
        <w:jc w:val="both"/>
        <w:rPr>
          <w:sz w:val="22"/>
        </w:rPr>
      </w:pPr>
      <w:r>
        <w:rPr>
          <w:sz w:val="22"/>
        </w:rPr>
        <w:t>Weaver, L.K., Valentine, K.J. and Hopkins, R.O. (2007). Carbon monoxide poisoning:</w:t>
      </w:r>
      <w:r>
        <w:rPr>
          <w:spacing w:val="40"/>
          <w:sz w:val="22"/>
        </w:rPr>
        <w:t> </w:t>
      </w:r>
      <w:r>
        <w:rPr>
          <w:sz w:val="22"/>
        </w:rPr>
        <w:t>risk factors for cognitive sequelae and the role of hyperbaric oxygen. </w:t>
      </w:r>
      <w:r>
        <w:rPr>
          <w:i/>
          <w:sz w:val="22"/>
        </w:rPr>
        <w:t>American Journal of Respiration and Critical Care Medicine, </w:t>
      </w:r>
      <w:r>
        <w:rPr>
          <w:sz w:val="22"/>
        </w:rPr>
        <w:t>176: 491-7.</w:t>
      </w:r>
    </w:p>
    <w:p>
      <w:pPr>
        <w:pStyle w:val="BodyText"/>
        <w:spacing w:before="9"/>
      </w:pPr>
    </w:p>
    <w:p>
      <w:pPr>
        <w:pStyle w:val="BodyText"/>
        <w:spacing w:line="244" w:lineRule="auto"/>
        <w:ind w:left="1342" w:right="900" w:hanging="677"/>
        <w:jc w:val="both"/>
      </w:pPr>
      <w:r>
        <w:rPr/>
        <w:t>Webber, D.S.,</w:t>
      </w:r>
      <w:r>
        <w:rPr>
          <w:spacing w:val="40"/>
        </w:rPr>
        <w:t> </w:t>
      </w:r>
      <w:r>
        <w:rPr/>
        <w:t>Korsac, R.A.,</w:t>
      </w:r>
      <w:r>
        <w:rPr>
          <w:spacing w:val="40"/>
        </w:rPr>
        <w:t> </w:t>
      </w:r>
      <w:r>
        <w:rPr/>
        <w:t>Sininger,</w:t>
      </w:r>
      <w:r>
        <w:rPr>
          <w:spacing w:val="40"/>
        </w:rPr>
        <w:t> </w:t>
      </w:r>
      <w:r>
        <w:rPr/>
        <w:t>L.K., Sampogna,</w:t>
      </w:r>
      <w:r>
        <w:rPr>
          <w:spacing w:val="40"/>
        </w:rPr>
        <w:t> </w:t>
      </w:r>
      <w:r>
        <w:rPr/>
        <w:t>S.L. and Edmond, J. (2003). Mild</w:t>
      </w:r>
      <w:r>
        <w:rPr>
          <w:spacing w:val="40"/>
        </w:rPr>
        <w:t> </w:t>
      </w:r>
      <w:r>
        <w:rPr/>
        <w:t>carbon monoxide exposure impairs the</w:t>
      </w:r>
      <w:r>
        <w:rPr>
          <w:spacing w:val="38"/>
        </w:rPr>
        <w:t> </w:t>
      </w:r>
      <w:r>
        <w:rPr/>
        <w:t>developing auditory system</w:t>
      </w:r>
      <w:r>
        <w:rPr>
          <w:spacing w:val="40"/>
        </w:rPr>
        <w:t> </w:t>
      </w:r>
      <w:r>
        <w:rPr/>
        <w:t>of the rat. </w:t>
      </w:r>
      <w:r>
        <w:rPr>
          <w:i/>
        </w:rPr>
        <w:t>Journal of Neuroscience Research</w:t>
      </w:r>
      <w:r>
        <w:rPr/>
        <w:t>, 74: 655-665.</w:t>
      </w:r>
    </w:p>
    <w:p>
      <w:pPr>
        <w:pStyle w:val="BodyText"/>
        <w:spacing w:before="10"/>
      </w:pPr>
    </w:p>
    <w:p>
      <w:pPr>
        <w:pStyle w:val="BodyText"/>
        <w:spacing w:line="244" w:lineRule="auto"/>
        <w:ind w:left="1342" w:right="906" w:hanging="677"/>
        <w:jc w:val="both"/>
      </w:pPr>
      <w:r>
        <w:rPr/>
        <w:t>Whincup, P., Papacosta, O., Lennon L. and Harnes, A. (2006). Smoking cigarette is the dominant influence on COHb. </w:t>
      </w:r>
      <w:r>
        <w:rPr>
          <w:i/>
        </w:rPr>
        <w:t>BioMed</w:t>
      </w:r>
      <w:r>
        <w:rPr>
          <w:i/>
          <w:spacing w:val="40"/>
        </w:rPr>
        <w:t> </w:t>
      </w:r>
      <w:r>
        <w:rPr>
          <w:i/>
        </w:rPr>
        <w:t>Central, Public Health, </w:t>
      </w:r>
      <w:r>
        <w:rPr/>
        <w:t>6(1): 189.</w:t>
      </w:r>
    </w:p>
    <w:p>
      <w:pPr>
        <w:pStyle w:val="BodyText"/>
        <w:spacing w:before="9"/>
      </w:pPr>
    </w:p>
    <w:p>
      <w:pPr>
        <w:spacing w:line="244" w:lineRule="auto" w:before="0"/>
        <w:ind w:left="1342" w:right="901" w:hanging="677"/>
        <w:jc w:val="both"/>
        <w:rPr>
          <w:sz w:val="22"/>
        </w:rPr>
      </w:pPr>
      <w:r>
        <w:rPr>
          <w:sz w:val="22"/>
        </w:rPr>
        <w:t>White, R.F., Feldman, R.G. and Proctor, S.P. (1992). Neurobehavioral effects of toxic exposure. In: white, R.F. (Ed) </w:t>
      </w:r>
      <w:r>
        <w:rPr>
          <w:i/>
          <w:sz w:val="22"/>
        </w:rPr>
        <w:t>Clinical syndrome in adult neuropsychology</w:t>
      </w:r>
      <w:r>
        <w:rPr>
          <w:sz w:val="22"/>
        </w:rPr>
        <w:t>. The practitioner’s handbook. </w:t>
      </w:r>
      <w:r>
        <w:rPr>
          <w:i/>
          <w:sz w:val="22"/>
        </w:rPr>
        <w:t>Elsevier</w:t>
      </w:r>
      <w:r>
        <w:rPr>
          <w:sz w:val="22"/>
        </w:rPr>
        <w:t>, New York, PP. 1-51.</w:t>
      </w:r>
    </w:p>
    <w:p>
      <w:pPr>
        <w:spacing w:after="0" w:line="244" w:lineRule="auto"/>
        <w:jc w:val="both"/>
        <w:rPr>
          <w:sz w:val="22"/>
        </w:rPr>
        <w:sectPr>
          <w:pgSz w:w="12240" w:h="15840"/>
          <w:pgMar w:header="0" w:footer="916" w:top="1260" w:bottom="1100" w:left="1720" w:right="960"/>
        </w:sectPr>
      </w:pPr>
    </w:p>
    <w:p>
      <w:pPr>
        <w:pStyle w:val="BodyText"/>
        <w:spacing w:line="244" w:lineRule="auto" w:before="78"/>
        <w:ind w:left="1342" w:right="907" w:hanging="677"/>
        <w:jc w:val="both"/>
      </w:pPr>
      <w:r>
        <w:rPr/>
        <w:t>Wilhelm, M., Ghosh, J.K., Su, J., Cockburn, M., Jerrett, M. and Ritz, B. (2011). Traffic- Related Air Toxics and Term Low Birth Weight in Los Angeles County, California. </w:t>
      </w:r>
      <w:r>
        <w:rPr>
          <w:i/>
        </w:rPr>
        <w:t>Environmental Health Perspective, </w:t>
      </w:r>
      <w:r>
        <w:rPr/>
        <w:t>120:132-138.</w:t>
      </w:r>
    </w:p>
    <w:p>
      <w:pPr>
        <w:pStyle w:val="BodyText"/>
      </w:pPr>
    </w:p>
    <w:p>
      <w:pPr>
        <w:pStyle w:val="BodyText"/>
        <w:spacing w:before="112"/>
      </w:pPr>
    </w:p>
    <w:p>
      <w:pPr>
        <w:pStyle w:val="BodyText"/>
        <w:spacing w:line="247" w:lineRule="auto"/>
        <w:ind w:left="1342" w:right="894" w:hanging="677"/>
        <w:jc w:val="both"/>
      </w:pPr>
      <w:r>
        <w:rPr/>
        <w:t>Williamson, A.M. and Feyer, A.M. (2000). Moderate sleep deprivation produces impairments</w:t>
      </w:r>
      <w:r>
        <w:rPr>
          <w:spacing w:val="40"/>
        </w:rPr>
        <w:t> </w:t>
      </w:r>
      <w:r>
        <w:rPr/>
        <w:t>in</w:t>
      </w:r>
      <w:r>
        <w:rPr>
          <w:spacing w:val="40"/>
        </w:rPr>
        <w:t> </w:t>
      </w:r>
      <w:r>
        <w:rPr/>
        <w:t>cognitive</w:t>
      </w:r>
      <w:r>
        <w:rPr>
          <w:spacing w:val="40"/>
        </w:rPr>
        <w:t> </w:t>
      </w:r>
      <w:r>
        <w:rPr/>
        <w:t>and</w:t>
      </w:r>
      <w:r>
        <w:rPr>
          <w:spacing w:val="40"/>
        </w:rPr>
        <w:t> </w:t>
      </w:r>
      <w:r>
        <w:rPr/>
        <w:t>motor</w:t>
      </w:r>
      <w:r>
        <w:rPr>
          <w:spacing w:val="40"/>
        </w:rPr>
        <w:t> </w:t>
      </w:r>
      <w:r>
        <w:rPr/>
        <w:t>performance</w:t>
      </w:r>
      <w:r>
        <w:rPr>
          <w:spacing w:val="40"/>
        </w:rPr>
        <w:t> </w:t>
      </w:r>
      <w:r>
        <w:rPr/>
        <w:t>equivalent</w:t>
      </w:r>
      <w:r>
        <w:rPr>
          <w:spacing w:val="40"/>
        </w:rPr>
        <w:t> </w:t>
      </w:r>
      <w:r>
        <w:rPr/>
        <w:t>to</w:t>
      </w:r>
      <w:r>
        <w:rPr>
          <w:spacing w:val="40"/>
        </w:rPr>
        <w:t> </w:t>
      </w:r>
      <w:r>
        <w:rPr/>
        <w:t>legally prescribed levels of alcohol intoxication. </w:t>
      </w:r>
      <w:r>
        <w:rPr>
          <w:i/>
        </w:rPr>
        <w:t>Occupational Environmental Medicine, </w:t>
      </w:r>
      <w:r>
        <w:rPr/>
        <w:t>57(10): 649–655.</w:t>
      </w:r>
    </w:p>
    <w:p>
      <w:pPr>
        <w:pStyle w:val="BodyText"/>
        <w:spacing w:before="6"/>
      </w:pPr>
    </w:p>
    <w:p>
      <w:pPr>
        <w:pStyle w:val="BodyText"/>
        <w:spacing w:line="244" w:lineRule="auto"/>
        <w:ind w:left="1342" w:right="897" w:hanging="677"/>
        <w:jc w:val="both"/>
      </w:pPr>
      <w:r>
        <w:rPr/>
        <w:t>Wolf, S.J., Lavonas, E.J. and Sloan, E.P. (2008).</w:t>
      </w:r>
      <w:r>
        <w:rPr>
          <w:spacing w:val="40"/>
        </w:rPr>
        <w:t> </w:t>
      </w:r>
      <w:r>
        <w:rPr/>
        <w:t>Clinical policy:</w:t>
      </w:r>
      <w:r>
        <w:rPr>
          <w:spacing w:val="40"/>
        </w:rPr>
        <w:t> </w:t>
      </w:r>
      <w:r>
        <w:rPr/>
        <w:t>Critical issues in the management</w:t>
      </w:r>
      <w:r>
        <w:rPr>
          <w:spacing w:val="40"/>
        </w:rPr>
        <w:t> </w:t>
      </w:r>
      <w:r>
        <w:rPr/>
        <w:t>of</w:t>
      </w:r>
      <w:r>
        <w:rPr>
          <w:spacing w:val="40"/>
        </w:rPr>
        <w:t> </w:t>
      </w:r>
      <w:r>
        <w:rPr/>
        <w:t>adult</w:t>
      </w:r>
      <w:r>
        <w:rPr>
          <w:spacing w:val="40"/>
        </w:rPr>
        <w:t> </w:t>
      </w:r>
      <w:r>
        <w:rPr/>
        <w:t>patients</w:t>
      </w:r>
      <w:r>
        <w:rPr>
          <w:spacing w:val="40"/>
        </w:rPr>
        <w:t> </w:t>
      </w:r>
      <w:r>
        <w:rPr/>
        <w:t>presenting</w:t>
      </w:r>
      <w:r>
        <w:rPr>
          <w:spacing w:val="40"/>
        </w:rPr>
        <w:t> </w:t>
      </w:r>
      <w:r>
        <w:rPr/>
        <w:t>to</w:t>
      </w:r>
      <w:r>
        <w:rPr>
          <w:spacing w:val="40"/>
        </w:rPr>
        <w:t> </w:t>
      </w:r>
      <w:r>
        <w:rPr/>
        <w:t>the</w:t>
      </w:r>
      <w:r>
        <w:rPr>
          <w:spacing w:val="40"/>
        </w:rPr>
        <w:t> </w:t>
      </w:r>
      <w:r>
        <w:rPr/>
        <w:t>emergency</w:t>
      </w:r>
      <w:r>
        <w:rPr>
          <w:spacing w:val="40"/>
        </w:rPr>
        <w:t> </w:t>
      </w:r>
      <w:r>
        <w:rPr/>
        <w:t>department</w:t>
      </w:r>
      <w:r>
        <w:rPr>
          <w:spacing w:val="40"/>
        </w:rPr>
        <w:t> </w:t>
      </w:r>
      <w:r>
        <w:rPr/>
        <w:t>with acute carbon monoxide poisoning.</w:t>
      </w:r>
      <w:r>
        <w:rPr>
          <w:spacing w:val="40"/>
        </w:rPr>
        <w:t> </w:t>
      </w:r>
      <w:r>
        <w:rPr>
          <w:i/>
        </w:rPr>
        <w:t>Annals of Emergency Medicine</w:t>
      </w:r>
      <w:r>
        <w:rPr/>
        <w:t>, 51(2): 138- </w:t>
      </w:r>
      <w:r>
        <w:rPr>
          <w:spacing w:val="-4"/>
        </w:rPr>
        <w:t>152.</w:t>
      </w:r>
    </w:p>
    <w:p>
      <w:pPr>
        <w:pStyle w:val="BodyText"/>
        <w:spacing w:before="10"/>
      </w:pPr>
    </w:p>
    <w:p>
      <w:pPr>
        <w:pStyle w:val="BodyText"/>
        <w:spacing w:before="1"/>
        <w:ind w:left="665"/>
      </w:pPr>
      <w:r>
        <w:rPr/>
        <w:t>World</w:t>
      </w:r>
      <w:r>
        <w:rPr>
          <w:spacing w:val="21"/>
        </w:rPr>
        <w:t> </w:t>
      </w:r>
      <w:r>
        <w:rPr/>
        <w:t>Bank.</w:t>
      </w:r>
      <w:r>
        <w:rPr>
          <w:spacing w:val="20"/>
        </w:rPr>
        <w:t> </w:t>
      </w:r>
      <w:r>
        <w:rPr/>
        <w:t>(2004).</w:t>
      </w:r>
      <w:r>
        <w:rPr>
          <w:spacing w:val="15"/>
        </w:rPr>
        <w:t> </w:t>
      </w:r>
      <w:r>
        <w:rPr/>
        <w:t>World</w:t>
      </w:r>
      <w:r>
        <w:rPr>
          <w:spacing w:val="21"/>
        </w:rPr>
        <w:t> </w:t>
      </w:r>
      <w:r>
        <w:rPr/>
        <w:t>Bank</w:t>
      </w:r>
      <w:r>
        <w:rPr>
          <w:spacing w:val="11"/>
        </w:rPr>
        <w:t> </w:t>
      </w:r>
      <w:r>
        <w:rPr/>
        <w:t>East</w:t>
      </w:r>
      <w:r>
        <w:rPr>
          <w:spacing w:val="19"/>
        </w:rPr>
        <w:t> </w:t>
      </w:r>
      <w:r>
        <w:rPr/>
        <w:t>Asia</w:t>
      </w:r>
      <w:r>
        <w:rPr>
          <w:spacing w:val="19"/>
        </w:rPr>
        <w:t> </w:t>
      </w:r>
      <w:r>
        <w:rPr/>
        <w:t>and</w:t>
      </w:r>
      <w:r>
        <w:rPr>
          <w:spacing w:val="22"/>
        </w:rPr>
        <w:t> </w:t>
      </w:r>
      <w:r>
        <w:rPr/>
        <w:t>the</w:t>
      </w:r>
      <w:r>
        <w:rPr>
          <w:spacing w:val="14"/>
        </w:rPr>
        <w:t> </w:t>
      </w:r>
      <w:r>
        <w:rPr/>
        <w:t>Pacific</w:t>
      </w:r>
      <w:r>
        <w:rPr>
          <w:spacing w:val="25"/>
        </w:rPr>
        <w:t> </w:t>
      </w:r>
      <w:r>
        <w:rPr/>
        <w:t>Urban</w:t>
      </w:r>
      <w:r>
        <w:rPr>
          <w:spacing w:val="17"/>
        </w:rPr>
        <w:t> </w:t>
      </w:r>
      <w:r>
        <w:rPr/>
        <w:t>Business</w:t>
      </w:r>
      <w:r>
        <w:rPr>
          <w:spacing w:val="17"/>
        </w:rPr>
        <w:t> </w:t>
      </w:r>
      <w:r>
        <w:rPr>
          <w:spacing w:val="-2"/>
        </w:rPr>
        <w:t>Directions.</w:t>
      </w:r>
    </w:p>
    <w:p>
      <w:pPr>
        <w:pStyle w:val="BodyText"/>
        <w:spacing w:before="6"/>
        <w:ind w:left="1342"/>
      </w:pPr>
      <w:r>
        <w:rPr/>
        <w:t>Washington,</w:t>
      </w:r>
      <w:r>
        <w:rPr>
          <w:spacing w:val="9"/>
        </w:rPr>
        <w:t> </w:t>
      </w:r>
      <w:r>
        <w:rPr/>
        <w:t>DC:</w:t>
      </w:r>
      <w:r>
        <w:rPr>
          <w:spacing w:val="3"/>
        </w:rPr>
        <w:t> </w:t>
      </w:r>
      <w:r>
        <w:rPr/>
        <w:t>World</w:t>
      </w:r>
      <w:r>
        <w:rPr>
          <w:spacing w:val="17"/>
        </w:rPr>
        <w:t> </w:t>
      </w:r>
      <w:r>
        <w:rPr/>
        <w:t>Bank,</w:t>
      </w:r>
      <w:r>
        <w:rPr>
          <w:spacing w:val="10"/>
        </w:rPr>
        <w:t> </w:t>
      </w:r>
      <w:r>
        <w:rPr/>
        <w:t>East</w:t>
      </w:r>
      <w:r>
        <w:rPr>
          <w:spacing w:val="9"/>
        </w:rPr>
        <w:t> </w:t>
      </w:r>
      <w:r>
        <w:rPr/>
        <w:t>Asia</w:t>
      </w:r>
      <w:r>
        <w:rPr>
          <w:spacing w:val="9"/>
        </w:rPr>
        <w:t> </w:t>
      </w:r>
      <w:r>
        <w:rPr>
          <w:spacing w:val="-2"/>
        </w:rPr>
        <w:t>Department.</w:t>
      </w:r>
    </w:p>
    <w:p>
      <w:pPr>
        <w:pStyle w:val="BodyText"/>
        <w:spacing w:before="17"/>
      </w:pPr>
    </w:p>
    <w:p>
      <w:pPr>
        <w:pStyle w:val="BodyText"/>
        <w:spacing w:line="244" w:lineRule="auto"/>
        <w:ind w:left="1342" w:right="896" w:hanging="677"/>
        <w:jc w:val="both"/>
      </w:pPr>
      <w:r>
        <w:rPr/>
        <w:t>World Health Organization, (2000). Chapter 5.5 Carbon monoxide; </w:t>
      </w:r>
      <w:r>
        <w:rPr>
          <w:i/>
        </w:rPr>
        <w:t>Air Quality</w:t>
      </w:r>
      <w:r>
        <w:rPr>
          <w:i/>
          <w:spacing w:val="80"/>
        </w:rPr>
        <w:t> </w:t>
      </w:r>
      <w:r>
        <w:rPr>
          <w:i/>
        </w:rPr>
        <w:t>Guidelines (AQG)</w:t>
      </w:r>
      <w:r>
        <w:rPr/>
        <w:t>, Second Edition. WHO Regional Office for Europe, Copenhagen, Denmark.</w:t>
      </w:r>
    </w:p>
    <w:p>
      <w:pPr>
        <w:pStyle w:val="BodyText"/>
        <w:spacing w:before="10"/>
      </w:pPr>
    </w:p>
    <w:p>
      <w:pPr>
        <w:spacing w:before="0"/>
        <w:ind w:left="1342" w:right="896" w:hanging="677"/>
        <w:jc w:val="both"/>
        <w:rPr>
          <w:sz w:val="22"/>
        </w:rPr>
      </w:pPr>
      <w:r>
        <w:rPr>
          <w:sz w:val="22"/>
        </w:rPr>
        <w:t>World Health Organization, (2004).</w:t>
      </w:r>
      <w:r>
        <w:rPr>
          <w:spacing w:val="40"/>
          <w:sz w:val="22"/>
        </w:rPr>
        <w:t> </w:t>
      </w:r>
      <w:r>
        <w:rPr>
          <w:sz w:val="22"/>
        </w:rPr>
        <w:t>Carbon monoxide. </w:t>
      </w:r>
      <w:r>
        <w:rPr>
          <w:i/>
          <w:sz w:val="22"/>
        </w:rPr>
        <w:t>Environmental Health Criteria</w:t>
      </w:r>
      <w:r>
        <w:rPr>
          <w:sz w:val="22"/>
        </w:rPr>
        <w:t>, Geneva. No. 13.</w:t>
      </w:r>
    </w:p>
    <w:p>
      <w:pPr>
        <w:pStyle w:val="BodyText"/>
        <w:spacing w:before="14"/>
      </w:pPr>
    </w:p>
    <w:p>
      <w:pPr>
        <w:pStyle w:val="BodyText"/>
        <w:spacing w:line="249" w:lineRule="auto"/>
        <w:ind w:left="1342" w:right="897" w:hanging="677"/>
        <w:jc w:val="both"/>
      </w:pPr>
      <w:r>
        <w:rPr/>
        <w:t>World Health Organization. (2000). Air quality guidelines for Europe. WHO Regional Office for Europe, Copenhagen.</w:t>
      </w:r>
    </w:p>
    <w:p>
      <w:pPr>
        <w:pStyle w:val="BodyText"/>
        <w:spacing w:before="3"/>
      </w:pPr>
    </w:p>
    <w:p>
      <w:pPr>
        <w:pStyle w:val="BodyText"/>
        <w:spacing w:line="244" w:lineRule="auto"/>
        <w:ind w:left="1342" w:right="900" w:hanging="677"/>
        <w:jc w:val="both"/>
      </w:pPr>
      <w:r>
        <w:rPr>
          <w:color w:val="3333CC"/>
          <w:u w:val="single" w:color="3333CC"/>
        </w:rPr>
        <w:t>Zhuo</w:t>
      </w:r>
      <w:r>
        <w:rPr/>
        <w:t>, M., </w:t>
      </w:r>
      <w:r>
        <w:rPr>
          <w:color w:val="3333CC"/>
          <w:u w:val="single" w:color="3333CC"/>
        </w:rPr>
        <w:t>Small</w:t>
      </w:r>
      <w:r>
        <w:rPr/>
        <w:t>, S.A., </w:t>
      </w:r>
      <w:r>
        <w:rPr>
          <w:color w:val="3333CC"/>
          <w:u w:val="single" w:color="3333CC"/>
        </w:rPr>
        <w:t>Kandel</w:t>
      </w:r>
      <w:r>
        <w:rPr/>
        <w:t>, E.R. and </w:t>
      </w:r>
      <w:r>
        <w:rPr>
          <w:color w:val="3333CC"/>
          <w:u w:val="single" w:color="3333CC"/>
        </w:rPr>
        <w:t>Hawkins</w:t>
      </w:r>
      <w:r>
        <w:rPr/>
        <w:t>, R.D. (1993). Nitric oxide and carbon monoxide produce activity-dependent long-term synaptic enhancement in </w:t>
      </w:r>
      <w:r>
        <w:rPr>
          <w:spacing w:val="-2"/>
        </w:rPr>
        <w:t>hippocampus,260(5116):1946-1950.</w:t>
      </w:r>
    </w:p>
    <w:p>
      <w:pPr>
        <w:spacing w:after="0" w:line="244" w:lineRule="auto"/>
        <w:jc w:val="both"/>
        <w:sectPr>
          <w:pgSz w:w="12240" w:h="15840"/>
          <w:pgMar w:header="0" w:footer="916" w:top="1300" w:bottom="1100" w:left="1720" w:right="960"/>
        </w:sectPr>
      </w:pPr>
    </w:p>
    <w:p>
      <w:pPr>
        <w:pStyle w:val="Heading1"/>
      </w:pPr>
      <w:bookmarkStart w:name="_TOC_250000" w:id="57"/>
      <w:bookmarkEnd w:id="57"/>
      <w:r>
        <w:rPr>
          <w:spacing w:val="-2"/>
        </w:rPr>
        <w:t>APPENDICES</w:t>
      </w:r>
    </w:p>
    <w:p>
      <w:pPr>
        <w:pStyle w:val="BodyText"/>
        <w:rPr>
          <w:b/>
          <w:sz w:val="26"/>
        </w:rPr>
      </w:pPr>
    </w:p>
    <w:p>
      <w:pPr>
        <w:pStyle w:val="BodyText"/>
        <w:spacing w:before="235"/>
        <w:rPr>
          <w:b/>
          <w:sz w:val="26"/>
        </w:rPr>
      </w:pPr>
    </w:p>
    <w:p>
      <w:pPr>
        <w:pStyle w:val="BodyText"/>
        <w:spacing w:line="491" w:lineRule="auto"/>
        <w:ind w:left="665" w:right="896"/>
      </w:pPr>
      <w:r>
        <w:rPr>
          <w:b/>
        </w:rPr>
        <w:t>APPENDIX</w:t>
      </w:r>
      <w:r>
        <w:rPr>
          <w:b/>
          <w:spacing w:val="64"/>
        </w:rPr>
        <w:t> </w:t>
      </w:r>
      <w:r>
        <w:rPr>
          <w:b/>
        </w:rPr>
        <w:t>I:</w:t>
      </w:r>
      <w:r>
        <w:rPr>
          <w:b/>
          <w:spacing w:val="67"/>
        </w:rPr>
        <w:t> </w:t>
      </w:r>
      <w:r>
        <w:rPr/>
        <w:t>The</w:t>
      </w:r>
      <w:r>
        <w:rPr>
          <w:spacing w:val="70"/>
        </w:rPr>
        <w:t> </w:t>
      </w:r>
      <w:r>
        <w:rPr/>
        <w:t>table</w:t>
      </w:r>
      <w:r>
        <w:rPr>
          <w:spacing w:val="40"/>
        </w:rPr>
        <w:t> </w:t>
      </w:r>
      <w:r>
        <w:rPr/>
        <w:t>below</w:t>
      </w:r>
      <w:r>
        <w:rPr>
          <w:spacing w:val="40"/>
        </w:rPr>
        <w:t> </w:t>
      </w:r>
      <w:r>
        <w:rPr/>
        <w:t>compares</w:t>
      </w:r>
      <w:r>
        <w:rPr>
          <w:spacing w:val="40"/>
        </w:rPr>
        <w:t> </w:t>
      </w:r>
      <w:r>
        <w:rPr/>
        <w:t>the</w:t>
      </w:r>
      <w:r>
        <w:rPr>
          <w:spacing w:val="65"/>
        </w:rPr>
        <w:t> </w:t>
      </w:r>
      <w:r>
        <w:rPr/>
        <w:t>TLs</w:t>
      </w:r>
      <w:r>
        <w:rPr>
          <w:spacing w:val="40"/>
        </w:rPr>
        <w:t> </w:t>
      </w:r>
      <w:r>
        <w:rPr/>
        <w:t>as</w:t>
      </w:r>
      <w:r>
        <w:rPr>
          <w:spacing w:val="62"/>
        </w:rPr>
        <w:t> </w:t>
      </w:r>
      <w:r>
        <w:rPr/>
        <w:t>it</w:t>
      </w:r>
      <w:r>
        <w:rPr>
          <w:spacing w:val="63"/>
        </w:rPr>
        <w:t> </w:t>
      </w:r>
      <w:r>
        <w:rPr/>
        <w:t>relates</w:t>
      </w:r>
      <w:r>
        <w:rPr>
          <w:spacing w:val="63"/>
        </w:rPr>
        <w:t> </w:t>
      </w:r>
      <w:r>
        <w:rPr/>
        <w:t>to</w:t>
      </w:r>
      <w:r>
        <w:rPr>
          <w:spacing w:val="67"/>
        </w:rPr>
        <w:t> </w:t>
      </w:r>
      <w:r>
        <w:rPr/>
        <w:t>the</w:t>
      </w:r>
      <w:r>
        <w:rPr>
          <w:spacing w:val="40"/>
        </w:rPr>
        <w:t> </w:t>
      </w:r>
      <w:r>
        <w:rPr/>
        <w:t>duration</w:t>
      </w:r>
      <w:r>
        <w:rPr>
          <w:spacing w:val="40"/>
        </w:rPr>
        <w:t> </w:t>
      </w:r>
      <w:r>
        <w:rPr/>
        <w:t>of exposures between control and experimental groups.</w:t>
      </w:r>
    </w:p>
    <w:p>
      <w:pPr>
        <w:pStyle w:val="BodyText"/>
      </w:pPr>
    </w:p>
    <w:p>
      <w:pPr>
        <w:pStyle w:val="BodyText"/>
        <w:spacing w:before="17"/>
      </w:pPr>
    </w:p>
    <w:p>
      <w:pPr>
        <w:spacing w:before="0"/>
        <w:ind w:left="665" w:right="0" w:firstLine="0"/>
        <w:jc w:val="left"/>
        <w:rPr>
          <w:b/>
          <w:sz w:val="22"/>
        </w:rPr>
      </w:pPr>
      <w:r>
        <w:rPr>
          <w:b/>
          <w:sz w:val="22"/>
        </w:rPr>
        <w:t>Table</w:t>
      </w:r>
      <w:r>
        <w:rPr>
          <w:b/>
          <w:spacing w:val="10"/>
          <w:sz w:val="22"/>
        </w:rPr>
        <w:t> </w:t>
      </w:r>
      <w:r>
        <w:rPr>
          <w:b/>
          <w:sz w:val="22"/>
        </w:rPr>
        <w:t>4.4:</w:t>
      </w:r>
      <w:r>
        <w:rPr>
          <w:b/>
          <w:spacing w:val="17"/>
          <w:sz w:val="22"/>
        </w:rPr>
        <w:t> </w:t>
      </w:r>
      <w:r>
        <w:rPr>
          <w:b/>
          <w:sz w:val="22"/>
        </w:rPr>
        <w:t>Mean</w:t>
      </w:r>
      <w:r>
        <w:rPr>
          <w:b/>
          <w:spacing w:val="9"/>
          <w:sz w:val="22"/>
        </w:rPr>
        <w:t> </w:t>
      </w:r>
      <w:r>
        <w:rPr>
          <w:b/>
          <w:sz w:val="22"/>
        </w:rPr>
        <w:t>Transfer</w:t>
      </w:r>
      <w:r>
        <w:rPr>
          <w:b/>
          <w:spacing w:val="10"/>
          <w:sz w:val="22"/>
        </w:rPr>
        <w:t> </w:t>
      </w:r>
      <w:r>
        <w:rPr>
          <w:b/>
          <w:sz w:val="22"/>
        </w:rPr>
        <w:t>latencies</w:t>
      </w:r>
      <w:r>
        <w:rPr>
          <w:b/>
          <w:spacing w:val="14"/>
          <w:sz w:val="22"/>
        </w:rPr>
        <w:t> </w:t>
      </w:r>
      <w:r>
        <w:rPr>
          <w:b/>
          <w:sz w:val="22"/>
        </w:rPr>
        <w:t>during</w:t>
      </w:r>
      <w:r>
        <w:rPr>
          <w:b/>
          <w:spacing w:val="13"/>
          <w:sz w:val="22"/>
        </w:rPr>
        <w:t> </w:t>
      </w:r>
      <w:r>
        <w:rPr>
          <w:b/>
          <w:sz w:val="22"/>
        </w:rPr>
        <w:t>the</w:t>
      </w:r>
      <w:r>
        <w:rPr>
          <w:b/>
          <w:spacing w:val="4"/>
          <w:sz w:val="22"/>
        </w:rPr>
        <w:t> </w:t>
      </w:r>
      <w:r>
        <w:rPr>
          <w:b/>
          <w:sz w:val="22"/>
        </w:rPr>
        <w:t>Acquisition/</w:t>
      </w:r>
      <w:r>
        <w:rPr>
          <w:b/>
          <w:spacing w:val="15"/>
          <w:sz w:val="22"/>
        </w:rPr>
        <w:t> </w:t>
      </w:r>
      <w:r>
        <w:rPr>
          <w:b/>
          <w:sz w:val="22"/>
        </w:rPr>
        <w:t>learning</w:t>
      </w:r>
      <w:r>
        <w:rPr>
          <w:b/>
          <w:spacing w:val="17"/>
          <w:sz w:val="22"/>
        </w:rPr>
        <w:t> </w:t>
      </w:r>
      <w:r>
        <w:rPr>
          <w:b/>
          <w:sz w:val="22"/>
        </w:rPr>
        <w:t>Task</w:t>
      </w:r>
      <w:r>
        <w:rPr>
          <w:b/>
          <w:spacing w:val="20"/>
          <w:sz w:val="22"/>
        </w:rPr>
        <w:t> </w:t>
      </w:r>
      <w:r>
        <w:rPr>
          <w:b/>
          <w:sz w:val="22"/>
        </w:rPr>
        <w:t>(Day-</w:t>
      </w:r>
      <w:r>
        <w:rPr>
          <w:b/>
          <w:spacing w:val="-5"/>
          <w:sz w:val="22"/>
        </w:rPr>
        <w:t>1).</w:t>
      </w:r>
    </w:p>
    <w:p>
      <w:pPr>
        <w:pStyle w:val="BodyText"/>
        <w:rPr>
          <w:b/>
          <w:sz w:val="20"/>
        </w:rPr>
      </w:pPr>
    </w:p>
    <w:p>
      <w:pPr>
        <w:pStyle w:val="BodyText"/>
        <w:rPr>
          <w:b/>
          <w:sz w:val="20"/>
        </w:rPr>
      </w:pPr>
    </w:p>
    <w:p>
      <w:pPr>
        <w:pStyle w:val="BodyText"/>
        <w:spacing w:before="95"/>
        <w:rPr>
          <w:b/>
          <w:sz w:val="20"/>
        </w:rPr>
      </w:pPr>
    </w:p>
    <w:tbl>
      <w:tblPr>
        <w:tblW w:w="0" w:type="auto"/>
        <w:jc w:val="left"/>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69"/>
        <w:gridCol w:w="1997"/>
        <w:gridCol w:w="2680"/>
        <w:gridCol w:w="1822"/>
      </w:tblGrid>
      <w:tr>
        <w:trPr>
          <w:trHeight w:val="517" w:hRule="atLeast"/>
        </w:trPr>
        <w:tc>
          <w:tcPr>
            <w:tcW w:w="1469" w:type="dxa"/>
            <w:tcBorders>
              <w:top w:val="single" w:sz="6" w:space="0" w:color="000000"/>
            </w:tcBorders>
          </w:tcPr>
          <w:p>
            <w:pPr>
              <w:pStyle w:val="TableParagraph"/>
              <w:spacing w:before="5"/>
              <w:rPr>
                <w:b/>
                <w:sz w:val="22"/>
              </w:rPr>
            </w:pPr>
            <w:r>
              <w:rPr>
                <w:b/>
                <w:spacing w:val="-2"/>
                <w:sz w:val="22"/>
              </w:rPr>
              <w:t>Groups</w:t>
            </w:r>
          </w:p>
        </w:tc>
        <w:tc>
          <w:tcPr>
            <w:tcW w:w="1997" w:type="dxa"/>
            <w:tcBorders>
              <w:top w:val="single" w:sz="6" w:space="0" w:color="000000"/>
            </w:tcBorders>
          </w:tcPr>
          <w:p>
            <w:pPr>
              <w:pStyle w:val="TableParagraph"/>
              <w:spacing w:before="5"/>
              <w:ind w:left="153"/>
              <w:rPr>
                <w:b/>
                <w:sz w:val="22"/>
              </w:rPr>
            </w:pPr>
            <w:r>
              <w:rPr>
                <w:b/>
                <w:spacing w:val="-2"/>
                <w:sz w:val="22"/>
              </w:rPr>
              <w:t>Treatment</w:t>
            </w:r>
          </w:p>
        </w:tc>
        <w:tc>
          <w:tcPr>
            <w:tcW w:w="2680" w:type="dxa"/>
            <w:tcBorders>
              <w:top w:val="single" w:sz="6" w:space="0" w:color="000000"/>
              <w:bottom w:val="single" w:sz="6" w:space="0" w:color="000000"/>
            </w:tcBorders>
          </w:tcPr>
          <w:p>
            <w:pPr>
              <w:pStyle w:val="TableParagraph"/>
              <w:rPr>
                <w:sz w:val="22"/>
              </w:rPr>
            </w:pPr>
            <w:r>
              <w:rPr>
                <w:b/>
                <w:sz w:val="22"/>
              </w:rPr>
              <w:t>Transfer</w:t>
            </w:r>
            <w:r>
              <w:rPr>
                <w:b/>
                <w:spacing w:val="16"/>
                <w:sz w:val="22"/>
              </w:rPr>
              <w:t> </w:t>
            </w:r>
            <w:r>
              <w:rPr>
                <w:b/>
                <w:sz w:val="22"/>
              </w:rPr>
              <w:t>Latency</w:t>
            </w:r>
            <w:r>
              <w:rPr>
                <w:b/>
                <w:spacing w:val="14"/>
                <w:sz w:val="22"/>
              </w:rPr>
              <w:t> </w:t>
            </w:r>
            <w:r>
              <w:rPr>
                <w:b/>
                <w:sz w:val="22"/>
              </w:rPr>
              <w:t>(Mean</w:t>
            </w:r>
            <w:r>
              <w:rPr>
                <w:b/>
                <w:spacing w:val="14"/>
                <w:sz w:val="22"/>
              </w:rPr>
              <w:t> </w:t>
            </w:r>
            <w:r>
              <w:rPr>
                <w:spacing w:val="-10"/>
                <w:sz w:val="22"/>
              </w:rPr>
              <w:t>±</w:t>
            </w:r>
          </w:p>
        </w:tc>
        <w:tc>
          <w:tcPr>
            <w:tcW w:w="1822" w:type="dxa"/>
            <w:tcBorders>
              <w:top w:val="single" w:sz="6" w:space="0" w:color="000000"/>
              <w:bottom w:val="single" w:sz="6" w:space="0" w:color="000000"/>
            </w:tcBorders>
          </w:tcPr>
          <w:p>
            <w:pPr>
              <w:pStyle w:val="TableParagraph"/>
              <w:ind w:left="26"/>
              <w:rPr>
                <w:b/>
                <w:sz w:val="22"/>
              </w:rPr>
            </w:pPr>
            <w:r>
              <w:rPr>
                <w:b/>
                <w:sz w:val="22"/>
              </w:rPr>
              <w:t>SEM)</w:t>
            </w:r>
            <w:r>
              <w:rPr>
                <w:b/>
                <w:spacing w:val="10"/>
                <w:sz w:val="22"/>
              </w:rPr>
              <w:t> </w:t>
            </w:r>
            <w:r>
              <w:rPr>
                <w:b/>
                <w:spacing w:val="-2"/>
                <w:sz w:val="22"/>
              </w:rPr>
              <w:t>(Seconds)</w:t>
            </w:r>
          </w:p>
        </w:tc>
      </w:tr>
      <w:tr>
        <w:trPr>
          <w:trHeight w:val="517" w:hRule="atLeast"/>
        </w:trPr>
        <w:tc>
          <w:tcPr>
            <w:tcW w:w="1469" w:type="dxa"/>
            <w:tcBorders>
              <w:bottom w:val="single" w:sz="4" w:space="0" w:color="000000"/>
            </w:tcBorders>
          </w:tcPr>
          <w:p>
            <w:pPr>
              <w:pStyle w:val="TableParagraph"/>
              <w:ind w:left="0"/>
              <w:rPr>
                <w:sz w:val="22"/>
              </w:rPr>
            </w:pPr>
          </w:p>
        </w:tc>
        <w:tc>
          <w:tcPr>
            <w:tcW w:w="1997" w:type="dxa"/>
            <w:tcBorders>
              <w:bottom w:val="single" w:sz="4" w:space="0" w:color="000000"/>
            </w:tcBorders>
          </w:tcPr>
          <w:p>
            <w:pPr>
              <w:pStyle w:val="TableParagraph"/>
              <w:ind w:left="0"/>
              <w:rPr>
                <w:sz w:val="22"/>
              </w:rPr>
            </w:pPr>
          </w:p>
        </w:tc>
        <w:tc>
          <w:tcPr>
            <w:tcW w:w="2680" w:type="dxa"/>
            <w:tcBorders>
              <w:top w:val="single" w:sz="6" w:space="0" w:color="000000"/>
              <w:bottom w:val="single" w:sz="4" w:space="0" w:color="000000"/>
            </w:tcBorders>
          </w:tcPr>
          <w:p>
            <w:pPr>
              <w:pStyle w:val="TableParagraph"/>
              <w:tabs>
                <w:tab w:pos="1415" w:val="left" w:leader="none"/>
              </w:tabs>
              <w:spacing w:before="5"/>
              <w:rPr>
                <w:b/>
                <w:sz w:val="22"/>
              </w:rPr>
            </w:pPr>
            <w:r>
              <w:rPr>
                <w:b/>
                <w:sz w:val="22"/>
              </w:rPr>
              <w:t>30</w:t>
            </w:r>
            <w:r>
              <w:rPr>
                <w:b/>
                <w:spacing w:val="6"/>
                <w:sz w:val="22"/>
              </w:rPr>
              <w:t> </w:t>
            </w:r>
            <w:r>
              <w:rPr>
                <w:b/>
                <w:spacing w:val="-2"/>
                <w:sz w:val="22"/>
              </w:rPr>
              <w:t>minutes</w:t>
            </w:r>
            <w:r>
              <w:rPr>
                <w:b/>
                <w:sz w:val="22"/>
              </w:rPr>
              <w:tab/>
              <w:t>1</w:t>
            </w:r>
            <w:r>
              <w:rPr>
                <w:b/>
                <w:spacing w:val="2"/>
                <w:sz w:val="22"/>
              </w:rPr>
              <w:t> </w:t>
            </w:r>
            <w:r>
              <w:rPr>
                <w:b/>
                <w:spacing w:val="-4"/>
                <w:sz w:val="22"/>
              </w:rPr>
              <w:t>Hour</w:t>
            </w:r>
          </w:p>
        </w:tc>
        <w:tc>
          <w:tcPr>
            <w:tcW w:w="1822" w:type="dxa"/>
            <w:tcBorders>
              <w:top w:val="single" w:sz="6" w:space="0" w:color="000000"/>
              <w:bottom w:val="single" w:sz="4" w:space="0" w:color="000000"/>
            </w:tcBorders>
          </w:tcPr>
          <w:p>
            <w:pPr>
              <w:pStyle w:val="TableParagraph"/>
              <w:spacing w:before="5"/>
              <w:ind w:left="50"/>
              <w:rPr>
                <w:b/>
                <w:sz w:val="22"/>
              </w:rPr>
            </w:pPr>
            <w:r>
              <w:rPr>
                <w:b/>
                <w:sz w:val="22"/>
              </w:rPr>
              <w:t>2</w:t>
            </w:r>
            <w:r>
              <w:rPr>
                <w:b/>
                <w:spacing w:val="6"/>
                <w:sz w:val="22"/>
              </w:rPr>
              <w:t> </w:t>
            </w:r>
            <w:r>
              <w:rPr>
                <w:b/>
                <w:spacing w:val="-2"/>
                <w:sz w:val="22"/>
              </w:rPr>
              <w:t>Hours</w:t>
            </w:r>
          </w:p>
        </w:tc>
      </w:tr>
      <w:tr>
        <w:trPr>
          <w:trHeight w:val="394" w:hRule="atLeast"/>
        </w:trPr>
        <w:tc>
          <w:tcPr>
            <w:tcW w:w="1469" w:type="dxa"/>
            <w:tcBorders>
              <w:top w:val="single" w:sz="4" w:space="0" w:color="000000"/>
            </w:tcBorders>
          </w:tcPr>
          <w:p>
            <w:pPr>
              <w:pStyle w:val="TableParagraph"/>
              <w:spacing w:before="5"/>
              <w:rPr>
                <w:sz w:val="22"/>
              </w:rPr>
            </w:pPr>
            <w:r>
              <w:rPr>
                <w:spacing w:val="-2"/>
                <w:sz w:val="22"/>
              </w:rPr>
              <w:t>Control</w:t>
            </w:r>
          </w:p>
        </w:tc>
        <w:tc>
          <w:tcPr>
            <w:tcW w:w="1997" w:type="dxa"/>
            <w:tcBorders>
              <w:top w:val="single" w:sz="4" w:space="0" w:color="000000"/>
            </w:tcBorders>
          </w:tcPr>
          <w:p>
            <w:pPr>
              <w:pStyle w:val="TableParagraph"/>
              <w:spacing w:before="5"/>
              <w:ind w:left="153"/>
              <w:rPr>
                <w:sz w:val="22"/>
              </w:rPr>
            </w:pPr>
            <w:r>
              <w:rPr>
                <w:sz w:val="22"/>
              </w:rPr>
              <w:t>Room</w:t>
            </w:r>
            <w:r>
              <w:rPr>
                <w:spacing w:val="16"/>
                <w:sz w:val="22"/>
              </w:rPr>
              <w:t> </w:t>
            </w:r>
            <w:r>
              <w:rPr>
                <w:spacing w:val="-5"/>
                <w:sz w:val="22"/>
              </w:rPr>
              <w:t>air</w:t>
            </w:r>
          </w:p>
        </w:tc>
        <w:tc>
          <w:tcPr>
            <w:tcW w:w="2680" w:type="dxa"/>
            <w:tcBorders>
              <w:top w:val="single" w:sz="4" w:space="0" w:color="000000"/>
            </w:tcBorders>
          </w:tcPr>
          <w:p>
            <w:pPr>
              <w:pStyle w:val="TableParagraph"/>
              <w:tabs>
                <w:tab w:pos="1415" w:val="left" w:leader="none"/>
              </w:tabs>
              <w:spacing w:before="5"/>
              <w:rPr>
                <w:sz w:val="22"/>
              </w:rPr>
            </w:pPr>
            <w:r>
              <w:rPr>
                <w:sz w:val="22"/>
              </w:rPr>
              <w:t>28.6</w:t>
            </w:r>
            <w:r>
              <w:rPr>
                <w:spacing w:val="7"/>
                <w:sz w:val="22"/>
              </w:rPr>
              <w:t> </w:t>
            </w:r>
            <w:r>
              <w:rPr>
                <w:sz w:val="22"/>
              </w:rPr>
              <w:t>±</w:t>
            </w:r>
            <w:r>
              <w:rPr>
                <w:spacing w:val="6"/>
                <w:sz w:val="22"/>
              </w:rPr>
              <w:t> </w:t>
            </w:r>
            <w:r>
              <w:rPr>
                <w:spacing w:val="-5"/>
                <w:sz w:val="22"/>
              </w:rPr>
              <w:t>5.2</w:t>
            </w:r>
            <w:r>
              <w:rPr>
                <w:sz w:val="22"/>
              </w:rPr>
              <w:tab/>
              <w:t>21.8</w:t>
            </w:r>
            <w:r>
              <w:rPr>
                <w:spacing w:val="7"/>
                <w:sz w:val="22"/>
              </w:rPr>
              <w:t> </w:t>
            </w:r>
            <w:r>
              <w:rPr>
                <w:sz w:val="22"/>
              </w:rPr>
              <w:t>±</w:t>
            </w:r>
            <w:r>
              <w:rPr>
                <w:spacing w:val="2"/>
                <w:sz w:val="22"/>
              </w:rPr>
              <w:t> </w:t>
            </w:r>
            <w:r>
              <w:rPr>
                <w:spacing w:val="-5"/>
                <w:sz w:val="22"/>
              </w:rPr>
              <w:t>4.4</w:t>
            </w:r>
          </w:p>
        </w:tc>
        <w:tc>
          <w:tcPr>
            <w:tcW w:w="1822" w:type="dxa"/>
            <w:tcBorders>
              <w:top w:val="single" w:sz="4" w:space="0" w:color="000000"/>
            </w:tcBorders>
          </w:tcPr>
          <w:p>
            <w:pPr>
              <w:pStyle w:val="TableParagraph"/>
              <w:spacing w:before="5"/>
              <w:ind w:left="50"/>
              <w:rPr>
                <w:sz w:val="22"/>
              </w:rPr>
            </w:pPr>
            <w:r>
              <w:rPr>
                <w:sz w:val="22"/>
              </w:rPr>
              <w:t>26</w:t>
            </w:r>
            <w:r>
              <w:rPr>
                <w:spacing w:val="4"/>
                <w:sz w:val="22"/>
              </w:rPr>
              <w:t> </w:t>
            </w:r>
            <w:r>
              <w:rPr>
                <w:sz w:val="22"/>
              </w:rPr>
              <w:t>±</w:t>
            </w:r>
            <w:r>
              <w:rPr>
                <w:spacing w:val="3"/>
                <w:sz w:val="22"/>
              </w:rPr>
              <w:t> </w:t>
            </w:r>
            <w:r>
              <w:rPr>
                <w:spacing w:val="-4"/>
                <w:sz w:val="22"/>
              </w:rPr>
              <w:t>10.5</w:t>
            </w:r>
          </w:p>
        </w:tc>
      </w:tr>
      <w:tr>
        <w:trPr>
          <w:trHeight w:val="384" w:hRule="atLeast"/>
        </w:trPr>
        <w:tc>
          <w:tcPr>
            <w:tcW w:w="1469" w:type="dxa"/>
          </w:tcPr>
          <w:p>
            <w:pPr>
              <w:pStyle w:val="TableParagraph"/>
              <w:spacing w:line="234" w:lineRule="exact" w:before="130"/>
              <w:rPr>
                <w:sz w:val="22"/>
              </w:rPr>
            </w:pPr>
            <w:r>
              <w:rPr>
                <w:spacing w:val="-2"/>
                <w:sz w:val="22"/>
              </w:rPr>
              <w:t>Experimental</w:t>
            </w:r>
          </w:p>
        </w:tc>
        <w:tc>
          <w:tcPr>
            <w:tcW w:w="1997" w:type="dxa"/>
          </w:tcPr>
          <w:p>
            <w:pPr>
              <w:pStyle w:val="TableParagraph"/>
              <w:spacing w:line="234" w:lineRule="exact" w:before="130"/>
              <w:ind w:left="153"/>
              <w:rPr>
                <w:sz w:val="22"/>
              </w:rPr>
            </w:pPr>
            <w:r>
              <w:rPr>
                <w:sz w:val="22"/>
              </w:rPr>
              <w:t>Carbon</w:t>
            </w:r>
            <w:r>
              <w:rPr>
                <w:spacing w:val="10"/>
                <w:sz w:val="22"/>
              </w:rPr>
              <w:t> </w:t>
            </w:r>
            <w:r>
              <w:rPr>
                <w:spacing w:val="-2"/>
                <w:sz w:val="22"/>
              </w:rPr>
              <w:t>monoxide</w:t>
            </w:r>
          </w:p>
        </w:tc>
        <w:tc>
          <w:tcPr>
            <w:tcW w:w="2680" w:type="dxa"/>
          </w:tcPr>
          <w:p>
            <w:pPr>
              <w:pStyle w:val="TableParagraph"/>
              <w:tabs>
                <w:tab w:pos="1415" w:val="left" w:leader="none"/>
              </w:tabs>
              <w:spacing w:line="234" w:lineRule="exact" w:before="130"/>
              <w:rPr>
                <w:sz w:val="22"/>
              </w:rPr>
            </w:pPr>
            <w:r>
              <w:rPr>
                <w:sz w:val="22"/>
              </w:rPr>
              <w:t>13.4</w:t>
            </w:r>
            <w:r>
              <w:rPr>
                <w:spacing w:val="7"/>
                <w:sz w:val="22"/>
              </w:rPr>
              <w:t> </w:t>
            </w:r>
            <w:r>
              <w:rPr>
                <w:sz w:val="22"/>
              </w:rPr>
              <w:t>±</w:t>
            </w:r>
            <w:r>
              <w:rPr>
                <w:spacing w:val="6"/>
                <w:sz w:val="22"/>
              </w:rPr>
              <w:t> </w:t>
            </w:r>
            <w:r>
              <w:rPr>
                <w:spacing w:val="-5"/>
                <w:sz w:val="22"/>
              </w:rPr>
              <w:t>1.5</w:t>
            </w:r>
            <w:r>
              <w:rPr>
                <w:sz w:val="22"/>
              </w:rPr>
              <w:tab/>
              <w:t>73</w:t>
            </w:r>
            <w:r>
              <w:rPr>
                <w:spacing w:val="7"/>
                <w:sz w:val="22"/>
              </w:rPr>
              <w:t> </w:t>
            </w:r>
            <w:r>
              <w:rPr>
                <w:sz w:val="22"/>
              </w:rPr>
              <w:t>± </w:t>
            </w:r>
            <w:r>
              <w:rPr>
                <w:spacing w:val="-5"/>
                <w:sz w:val="22"/>
              </w:rPr>
              <w:t>8.4</w:t>
            </w:r>
          </w:p>
        </w:tc>
        <w:tc>
          <w:tcPr>
            <w:tcW w:w="1822" w:type="dxa"/>
          </w:tcPr>
          <w:p>
            <w:pPr>
              <w:pStyle w:val="TableParagraph"/>
              <w:spacing w:line="234" w:lineRule="exact" w:before="130"/>
              <w:ind w:left="50"/>
              <w:rPr>
                <w:sz w:val="22"/>
              </w:rPr>
            </w:pPr>
            <w:r>
              <w:rPr>
                <w:sz w:val="22"/>
              </w:rPr>
              <w:t>54</w:t>
            </w:r>
            <w:r>
              <w:rPr>
                <w:spacing w:val="4"/>
                <w:sz w:val="22"/>
              </w:rPr>
              <w:t> </w:t>
            </w:r>
            <w:r>
              <w:rPr>
                <w:sz w:val="22"/>
              </w:rPr>
              <w:t>±</w:t>
            </w:r>
            <w:r>
              <w:rPr>
                <w:spacing w:val="3"/>
                <w:sz w:val="22"/>
              </w:rPr>
              <w:t> </w:t>
            </w:r>
            <w:r>
              <w:rPr>
                <w:spacing w:val="-4"/>
                <w:sz w:val="22"/>
              </w:rPr>
              <w:t>15.1</w:t>
            </w:r>
          </w:p>
        </w:tc>
      </w:tr>
    </w:tbl>
    <w:p>
      <w:pPr>
        <w:pStyle w:val="BodyText"/>
        <w:spacing w:before="3"/>
        <w:rPr>
          <w:b/>
          <w:sz w:val="20"/>
        </w:rPr>
      </w:pPr>
      <w:r>
        <w:rPr/>
        <mc:AlternateContent>
          <mc:Choice Requires="wps">
            <w:drawing>
              <wp:anchor distT="0" distB="0" distL="0" distR="0" allowOverlap="1" layoutInCell="1" locked="0" behindDoc="1" simplePos="0" relativeHeight="487601664">
                <wp:simplePos x="0" y="0"/>
                <wp:positionH relativeFrom="page">
                  <wp:posOffset>1441704</wp:posOffset>
                </wp:positionH>
                <wp:positionV relativeFrom="paragraph">
                  <wp:posOffset>163182</wp:posOffset>
                </wp:positionV>
                <wp:extent cx="5069205" cy="6350"/>
                <wp:effectExtent l="0" t="0" r="0" b="0"/>
                <wp:wrapTopAndBottom/>
                <wp:docPr id="172" name="Graphic 172"/>
                <wp:cNvGraphicFramePr>
                  <a:graphicFrameLocks/>
                </wp:cNvGraphicFramePr>
                <a:graphic>
                  <a:graphicData uri="http://schemas.microsoft.com/office/word/2010/wordprocessingShape">
                    <wps:wsp>
                      <wps:cNvPr id="172" name="Graphic 172"/>
                      <wps:cNvSpPr/>
                      <wps:spPr>
                        <a:xfrm>
                          <a:off x="0" y="0"/>
                          <a:ext cx="5069205" cy="6350"/>
                        </a:xfrm>
                        <a:custGeom>
                          <a:avLst/>
                          <a:gdLst/>
                          <a:ahLst/>
                          <a:cxnLst/>
                          <a:rect l="l" t="t" r="r" b="b"/>
                          <a:pathLst>
                            <a:path w="5069205" h="6350">
                              <a:moveTo>
                                <a:pt x="5068824" y="0"/>
                              </a:moveTo>
                              <a:lnTo>
                                <a:pt x="5068824" y="0"/>
                              </a:lnTo>
                              <a:lnTo>
                                <a:pt x="0" y="0"/>
                              </a:lnTo>
                              <a:lnTo>
                                <a:pt x="0" y="6096"/>
                              </a:lnTo>
                              <a:lnTo>
                                <a:pt x="5068824" y="6096"/>
                              </a:lnTo>
                              <a:lnTo>
                                <a:pt x="50688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3.520004pt;margin-top:12.849003pt;width:399.120019pt;height:.48pt;mso-position-horizontal-relative:page;mso-position-vertical-relative:paragraph;z-index:-15714816;mso-wrap-distance-left:0;mso-wrap-distance-right:0" id="docshape156" filled="true" fillcolor="#000000" stroked="false">
                <v:fill type="solid"/>
                <w10:wrap type="topAndBottom"/>
              </v:rect>
            </w:pict>
          </mc:Fallback>
        </mc:AlternateContent>
      </w:r>
    </w:p>
    <w:p>
      <w:pPr>
        <w:spacing w:after="0"/>
        <w:rPr>
          <w:sz w:val="20"/>
        </w:rPr>
        <w:sectPr>
          <w:pgSz w:w="12240" w:h="15840"/>
          <w:pgMar w:header="0" w:footer="916" w:top="1260" w:bottom="1100" w:left="1720" w:right="960"/>
        </w:sectPr>
      </w:pPr>
    </w:p>
    <w:p>
      <w:pPr>
        <w:pStyle w:val="Heading2"/>
        <w:ind w:right="241"/>
        <w:jc w:val="center"/>
      </w:pPr>
      <w:r>
        <w:rPr/>
        <w:t>APPENDIX</w:t>
      </w:r>
      <w:r>
        <w:rPr>
          <w:spacing w:val="18"/>
        </w:rPr>
        <w:t> </w:t>
      </w:r>
      <w:r>
        <w:rPr>
          <w:spacing w:val="-5"/>
        </w:rPr>
        <w:t>II:</w:t>
      </w:r>
    </w:p>
    <w:p>
      <w:pPr>
        <w:pStyle w:val="BodyText"/>
        <w:rPr>
          <w:b/>
        </w:rPr>
      </w:pPr>
    </w:p>
    <w:p>
      <w:pPr>
        <w:pStyle w:val="BodyText"/>
        <w:rPr>
          <w:b/>
        </w:rPr>
      </w:pPr>
    </w:p>
    <w:p>
      <w:pPr>
        <w:pStyle w:val="BodyText"/>
        <w:spacing w:before="25"/>
        <w:rPr>
          <w:b/>
        </w:rPr>
      </w:pPr>
    </w:p>
    <w:p>
      <w:pPr>
        <w:spacing w:before="0"/>
        <w:ind w:left="665" w:right="0" w:firstLine="0"/>
        <w:jc w:val="left"/>
        <w:rPr>
          <w:b/>
          <w:sz w:val="22"/>
        </w:rPr>
      </w:pPr>
      <w:r>
        <w:rPr>
          <w:b/>
          <w:sz w:val="22"/>
        </w:rPr>
        <w:t>Table</w:t>
      </w:r>
      <w:r>
        <w:rPr>
          <w:b/>
          <w:spacing w:val="10"/>
          <w:sz w:val="22"/>
        </w:rPr>
        <w:t> </w:t>
      </w:r>
      <w:r>
        <w:rPr>
          <w:b/>
          <w:sz w:val="22"/>
        </w:rPr>
        <w:t>4.5:</w:t>
      </w:r>
      <w:r>
        <w:rPr>
          <w:b/>
          <w:spacing w:val="17"/>
          <w:sz w:val="22"/>
        </w:rPr>
        <w:t> </w:t>
      </w:r>
      <w:r>
        <w:rPr>
          <w:b/>
          <w:sz w:val="22"/>
        </w:rPr>
        <w:t>Mean</w:t>
      </w:r>
      <w:r>
        <w:rPr>
          <w:b/>
          <w:spacing w:val="9"/>
          <w:sz w:val="22"/>
        </w:rPr>
        <w:t> </w:t>
      </w:r>
      <w:r>
        <w:rPr>
          <w:b/>
          <w:sz w:val="22"/>
        </w:rPr>
        <w:t>transfer</w:t>
      </w:r>
      <w:r>
        <w:rPr>
          <w:b/>
          <w:spacing w:val="16"/>
          <w:sz w:val="22"/>
        </w:rPr>
        <w:t> </w:t>
      </w:r>
      <w:r>
        <w:rPr>
          <w:b/>
          <w:sz w:val="22"/>
        </w:rPr>
        <w:t>latencies</w:t>
      </w:r>
      <w:r>
        <w:rPr>
          <w:b/>
          <w:spacing w:val="14"/>
          <w:sz w:val="22"/>
        </w:rPr>
        <w:t> </w:t>
      </w:r>
      <w:r>
        <w:rPr>
          <w:b/>
          <w:sz w:val="22"/>
        </w:rPr>
        <w:t>during</w:t>
      </w:r>
      <w:r>
        <w:rPr>
          <w:b/>
          <w:spacing w:val="12"/>
          <w:sz w:val="22"/>
        </w:rPr>
        <w:t> </w:t>
      </w:r>
      <w:r>
        <w:rPr>
          <w:b/>
          <w:sz w:val="22"/>
        </w:rPr>
        <w:t>the</w:t>
      </w:r>
      <w:r>
        <w:rPr>
          <w:b/>
          <w:spacing w:val="10"/>
          <w:sz w:val="22"/>
        </w:rPr>
        <w:t> </w:t>
      </w:r>
      <w:r>
        <w:rPr>
          <w:b/>
          <w:sz w:val="22"/>
        </w:rPr>
        <w:t>recall/memory</w:t>
      </w:r>
      <w:r>
        <w:rPr>
          <w:b/>
          <w:spacing w:val="13"/>
          <w:sz w:val="22"/>
        </w:rPr>
        <w:t> </w:t>
      </w:r>
      <w:r>
        <w:rPr>
          <w:b/>
          <w:sz w:val="22"/>
        </w:rPr>
        <w:t>task</w:t>
      </w:r>
      <w:r>
        <w:rPr>
          <w:b/>
          <w:spacing w:val="20"/>
          <w:sz w:val="22"/>
        </w:rPr>
        <w:t> </w:t>
      </w:r>
      <w:r>
        <w:rPr>
          <w:b/>
          <w:sz w:val="22"/>
        </w:rPr>
        <w:t>(Day-</w:t>
      </w:r>
      <w:r>
        <w:rPr>
          <w:b/>
          <w:spacing w:val="-5"/>
          <w:sz w:val="22"/>
        </w:rPr>
        <w:t>2)</w:t>
      </w:r>
    </w:p>
    <w:p>
      <w:pPr>
        <w:pStyle w:val="BodyText"/>
        <w:rPr>
          <w:b/>
          <w:sz w:val="20"/>
        </w:rPr>
      </w:pPr>
    </w:p>
    <w:p>
      <w:pPr>
        <w:pStyle w:val="BodyText"/>
        <w:rPr>
          <w:b/>
          <w:sz w:val="20"/>
        </w:rPr>
      </w:pPr>
    </w:p>
    <w:p>
      <w:pPr>
        <w:pStyle w:val="BodyText"/>
        <w:spacing w:before="64"/>
        <w:rPr>
          <w:b/>
          <w:sz w:val="20"/>
        </w:rPr>
      </w:pPr>
      <w:r>
        <w:rPr/>
        <mc:AlternateContent>
          <mc:Choice Requires="wps">
            <w:drawing>
              <wp:anchor distT="0" distB="0" distL="0" distR="0" allowOverlap="1" layoutInCell="1" locked="0" behindDoc="1" simplePos="0" relativeHeight="487602176">
                <wp:simplePos x="0" y="0"/>
                <wp:positionH relativeFrom="page">
                  <wp:posOffset>1450848</wp:posOffset>
                </wp:positionH>
                <wp:positionV relativeFrom="paragraph">
                  <wp:posOffset>202022</wp:posOffset>
                </wp:positionV>
                <wp:extent cx="4971415" cy="9525"/>
                <wp:effectExtent l="0" t="0" r="0" b="0"/>
                <wp:wrapTopAndBottom/>
                <wp:docPr id="173" name="Graphic 173"/>
                <wp:cNvGraphicFramePr>
                  <a:graphicFrameLocks/>
                </wp:cNvGraphicFramePr>
                <a:graphic>
                  <a:graphicData uri="http://schemas.microsoft.com/office/word/2010/wordprocessingShape">
                    <wps:wsp>
                      <wps:cNvPr id="173" name="Graphic 173"/>
                      <wps:cNvSpPr/>
                      <wps:spPr>
                        <a:xfrm>
                          <a:off x="0" y="0"/>
                          <a:ext cx="4971415" cy="9525"/>
                        </a:xfrm>
                        <a:custGeom>
                          <a:avLst/>
                          <a:gdLst/>
                          <a:ahLst/>
                          <a:cxnLst/>
                          <a:rect l="l" t="t" r="r" b="b"/>
                          <a:pathLst>
                            <a:path w="4971415" h="9525">
                              <a:moveTo>
                                <a:pt x="4971275" y="0"/>
                              </a:moveTo>
                              <a:lnTo>
                                <a:pt x="4971275" y="0"/>
                              </a:lnTo>
                              <a:lnTo>
                                <a:pt x="0" y="0"/>
                              </a:lnTo>
                              <a:lnTo>
                                <a:pt x="0" y="9144"/>
                              </a:lnTo>
                              <a:lnTo>
                                <a:pt x="4971275" y="9144"/>
                              </a:lnTo>
                              <a:lnTo>
                                <a:pt x="4971275"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rect style="position:absolute;margin-left:114.240005pt;margin-top:15.907294pt;width:391.439019pt;height:.72pt;mso-position-horizontal-relative:page;mso-position-vertical-relative:paragraph;z-index:-15714304;mso-wrap-distance-left:0;mso-wrap-distance-right:0" id="docshape157" filled="true" fillcolor="#4e80bc" stroked="false">
                <v:fill type="solid"/>
                <w10:wrap type="topAndBottom"/>
              </v:rect>
            </w:pict>
          </mc:Fallback>
        </mc:AlternateContent>
      </w:r>
    </w:p>
    <w:p>
      <w:pPr>
        <w:tabs>
          <w:tab w:pos="2187" w:val="left" w:leader="none"/>
          <w:tab w:pos="4049" w:val="left" w:leader="none"/>
        </w:tabs>
        <w:spacing w:before="15"/>
        <w:ind w:left="665" w:right="0" w:firstLine="0"/>
        <w:jc w:val="left"/>
        <w:rPr>
          <w:b/>
          <w:sz w:val="22"/>
        </w:rPr>
      </w:pPr>
      <w:r>
        <w:rPr>
          <w:b/>
          <w:spacing w:val="-2"/>
          <w:sz w:val="22"/>
        </w:rPr>
        <w:t>Groups</w:t>
      </w:r>
      <w:r>
        <w:rPr>
          <w:b/>
          <w:sz w:val="22"/>
        </w:rPr>
        <w:tab/>
      </w:r>
      <w:r>
        <w:rPr>
          <w:b/>
          <w:spacing w:val="-2"/>
          <w:sz w:val="22"/>
        </w:rPr>
        <w:t>Treatment</w:t>
      </w:r>
      <w:r>
        <w:rPr>
          <w:b/>
          <w:sz w:val="22"/>
        </w:rPr>
        <w:tab/>
        <w:t>Transfer</w:t>
      </w:r>
      <w:r>
        <w:rPr>
          <w:b/>
          <w:spacing w:val="11"/>
          <w:sz w:val="22"/>
        </w:rPr>
        <w:t> </w:t>
      </w:r>
      <w:r>
        <w:rPr>
          <w:b/>
          <w:sz w:val="22"/>
        </w:rPr>
        <w:t>Latency</w:t>
      </w:r>
      <w:r>
        <w:rPr>
          <w:b/>
          <w:spacing w:val="74"/>
          <w:sz w:val="22"/>
        </w:rPr>
        <w:t> </w:t>
      </w:r>
      <w:r>
        <w:rPr>
          <w:b/>
          <w:sz w:val="22"/>
        </w:rPr>
        <w:t>(Mean</w:t>
      </w:r>
      <w:r>
        <w:rPr>
          <w:b/>
          <w:spacing w:val="5"/>
          <w:sz w:val="22"/>
        </w:rPr>
        <w:t> </w:t>
      </w:r>
      <w:r>
        <w:rPr>
          <w:sz w:val="22"/>
        </w:rPr>
        <w:t>±</w:t>
      </w:r>
      <w:r>
        <w:rPr>
          <w:spacing w:val="17"/>
          <w:sz w:val="22"/>
        </w:rPr>
        <w:t> </w:t>
      </w:r>
      <w:r>
        <w:rPr>
          <w:b/>
          <w:sz w:val="22"/>
        </w:rPr>
        <w:t>SEM)</w:t>
      </w:r>
      <w:r>
        <w:rPr>
          <w:b/>
          <w:spacing w:val="13"/>
          <w:sz w:val="22"/>
        </w:rPr>
        <w:t> </w:t>
      </w:r>
      <w:r>
        <w:rPr>
          <w:b/>
          <w:spacing w:val="-2"/>
          <w:sz w:val="22"/>
        </w:rPr>
        <w:t>(Seconds)</w:t>
      </w:r>
    </w:p>
    <w:p>
      <w:pPr>
        <w:pStyle w:val="BodyText"/>
        <w:spacing w:before="34" w:after="1"/>
        <w:rPr>
          <w:b/>
          <w:sz w:val="20"/>
        </w:rPr>
      </w:pPr>
    </w:p>
    <w:tbl>
      <w:tblPr>
        <w:tblW w:w="0" w:type="auto"/>
        <w:jc w:val="left"/>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69"/>
        <w:gridCol w:w="1916"/>
        <w:gridCol w:w="1324"/>
        <w:gridCol w:w="1384"/>
        <w:gridCol w:w="1740"/>
      </w:tblGrid>
      <w:tr>
        <w:trPr>
          <w:trHeight w:val="517" w:hRule="atLeast"/>
        </w:trPr>
        <w:tc>
          <w:tcPr>
            <w:tcW w:w="3385" w:type="dxa"/>
            <w:gridSpan w:val="2"/>
            <w:tcBorders>
              <w:bottom w:val="single" w:sz="8" w:space="0" w:color="4E80BC"/>
            </w:tcBorders>
          </w:tcPr>
          <w:p>
            <w:pPr>
              <w:pStyle w:val="TableParagraph"/>
              <w:ind w:left="0"/>
              <w:rPr>
                <w:sz w:val="22"/>
              </w:rPr>
            </w:pPr>
          </w:p>
        </w:tc>
        <w:tc>
          <w:tcPr>
            <w:tcW w:w="1324" w:type="dxa"/>
            <w:tcBorders>
              <w:top w:val="single" w:sz="8" w:space="0" w:color="4E80BC"/>
              <w:bottom w:val="single" w:sz="8" w:space="0" w:color="4E80BC"/>
            </w:tcBorders>
          </w:tcPr>
          <w:p>
            <w:pPr>
              <w:pStyle w:val="TableParagraph"/>
              <w:spacing w:before="5"/>
              <w:ind w:left="99"/>
              <w:rPr>
                <w:b/>
                <w:sz w:val="22"/>
              </w:rPr>
            </w:pPr>
            <w:r>
              <w:rPr>
                <w:b/>
                <w:sz w:val="22"/>
              </w:rPr>
              <w:t>30</w:t>
            </w:r>
            <w:r>
              <w:rPr>
                <w:b/>
                <w:spacing w:val="6"/>
                <w:sz w:val="22"/>
              </w:rPr>
              <w:t> </w:t>
            </w:r>
            <w:r>
              <w:rPr>
                <w:b/>
                <w:spacing w:val="-2"/>
                <w:sz w:val="22"/>
              </w:rPr>
              <w:t>minutes</w:t>
            </w:r>
          </w:p>
        </w:tc>
        <w:tc>
          <w:tcPr>
            <w:tcW w:w="1384" w:type="dxa"/>
            <w:tcBorders>
              <w:top w:val="single" w:sz="8" w:space="0" w:color="4E80BC"/>
              <w:bottom w:val="single" w:sz="8" w:space="0" w:color="4E80BC"/>
            </w:tcBorders>
          </w:tcPr>
          <w:p>
            <w:pPr>
              <w:pStyle w:val="TableParagraph"/>
              <w:spacing w:before="5"/>
              <w:ind w:left="172"/>
              <w:rPr>
                <w:b/>
                <w:sz w:val="22"/>
              </w:rPr>
            </w:pPr>
            <w:r>
              <w:rPr>
                <w:b/>
                <w:sz w:val="22"/>
              </w:rPr>
              <w:t>1</w:t>
            </w:r>
            <w:r>
              <w:rPr>
                <w:b/>
                <w:spacing w:val="2"/>
                <w:sz w:val="22"/>
              </w:rPr>
              <w:t> </w:t>
            </w:r>
            <w:r>
              <w:rPr>
                <w:b/>
                <w:spacing w:val="-4"/>
                <w:sz w:val="22"/>
              </w:rPr>
              <w:t>Hour</w:t>
            </w:r>
          </w:p>
        </w:tc>
        <w:tc>
          <w:tcPr>
            <w:tcW w:w="1740" w:type="dxa"/>
            <w:tcBorders>
              <w:top w:val="single" w:sz="8" w:space="0" w:color="4E80BC"/>
              <w:bottom w:val="single" w:sz="8" w:space="0" w:color="4E80BC"/>
            </w:tcBorders>
          </w:tcPr>
          <w:p>
            <w:pPr>
              <w:pStyle w:val="TableParagraph"/>
              <w:spacing w:before="5"/>
              <w:ind w:left="180"/>
              <w:rPr>
                <w:b/>
                <w:sz w:val="22"/>
              </w:rPr>
            </w:pPr>
            <w:r>
              <w:rPr>
                <w:b/>
                <w:sz w:val="22"/>
              </w:rPr>
              <w:t>2</w:t>
            </w:r>
            <w:r>
              <w:rPr>
                <w:b/>
                <w:spacing w:val="6"/>
                <w:sz w:val="22"/>
              </w:rPr>
              <w:t> </w:t>
            </w:r>
            <w:r>
              <w:rPr>
                <w:b/>
                <w:spacing w:val="-2"/>
                <w:sz w:val="22"/>
              </w:rPr>
              <w:t>Hours</w:t>
            </w:r>
          </w:p>
        </w:tc>
      </w:tr>
      <w:tr>
        <w:trPr>
          <w:trHeight w:val="389" w:hRule="atLeast"/>
        </w:trPr>
        <w:tc>
          <w:tcPr>
            <w:tcW w:w="1469" w:type="dxa"/>
            <w:tcBorders>
              <w:top w:val="single" w:sz="8" w:space="0" w:color="4E80BC"/>
            </w:tcBorders>
          </w:tcPr>
          <w:p>
            <w:pPr>
              <w:pStyle w:val="TableParagraph"/>
              <w:rPr>
                <w:sz w:val="22"/>
              </w:rPr>
            </w:pPr>
            <w:r>
              <w:rPr>
                <w:spacing w:val="-2"/>
                <w:sz w:val="22"/>
              </w:rPr>
              <w:t>Control</w:t>
            </w:r>
          </w:p>
        </w:tc>
        <w:tc>
          <w:tcPr>
            <w:tcW w:w="1916" w:type="dxa"/>
            <w:tcBorders>
              <w:top w:val="single" w:sz="8" w:space="0" w:color="4E80BC"/>
            </w:tcBorders>
          </w:tcPr>
          <w:p>
            <w:pPr>
              <w:pStyle w:val="TableParagraph"/>
              <w:ind w:left="153"/>
              <w:rPr>
                <w:sz w:val="22"/>
              </w:rPr>
            </w:pPr>
            <w:r>
              <w:rPr>
                <w:sz w:val="22"/>
              </w:rPr>
              <w:t>Room</w:t>
            </w:r>
            <w:r>
              <w:rPr>
                <w:spacing w:val="16"/>
                <w:sz w:val="22"/>
              </w:rPr>
              <w:t> </w:t>
            </w:r>
            <w:r>
              <w:rPr>
                <w:spacing w:val="-5"/>
                <w:sz w:val="22"/>
              </w:rPr>
              <w:t>air</w:t>
            </w:r>
          </w:p>
        </w:tc>
        <w:tc>
          <w:tcPr>
            <w:tcW w:w="1324" w:type="dxa"/>
            <w:tcBorders>
              <w:top w:val="single" w:sz="8" w:space="0" w:color="4E80BC"/>
            </w:tcBorders>
          </w:tcPr>
          <w:p>
            <w:pPr>
              <w:pStyle w:val="TableParagraph"/>
              <w:ind w:left="99"/>
              <w:rPr>
                <w:sz w:val="22"/>
              </w:rPr>
            </w:pPr>
            <w:r>
              <w:rPr>
                <w:sz w:val="22"/>
              </w:rPr>
              <w:t>13.6</w:t>
            </w:r>
            <w:r>
              <w:rPr>
                <w:spacing w:val="7"/>
                <w:sz w:val="22"/>
              </w:rPr>
              <w:t> </w:t>
            </w:r>
            <w:r>
              <w:rPr>
                <w:sz w:val="22"/>
              </w:rPr>
              <w:t>±</w:t>
            </w:r>
            <w:r>
              <w:rPr>
                <w:spacing w:val="6"/>
                <w:sz w:val="22"/>
              </w:rPr>
              <w:t> </w:t>
            </w:r>
            <w:r>
              <w:rPr>
                <w:spacing w:val="-5"/>
                <w:sz w:val="22"/>
              </w:rPr>
              <w:t>1.9</w:t>
            </w:r>
          </w:p>
        </w:tc>
        <w:tc>
          <w:tcPr>
            <w:tcW w:w="1384" w:type="dxa"/>
            <w:tcBorders>
              <w:top w:val="single" w:sz="8" w:space="0" w:color="4E80BC"/>
            </w:tcBorders>
          </w:tcPr>
          <w:p>
            <w:pPr>
              <w:pStyle w:val="TableParagraph"/>
              <w:ind w:left="172"/>
              <w:rPr>
                <w:sz w:val="22"/>
              </w:rPr>
            </w:pPr>
            <w:r>
              <w:rPr>
                <w:sz w:val="22"/>
              </w:rPr>
              <w:t>14.4</w:t>
            </w:r>
            <w:r>
              <w:rPr>
                <w:spacing w:val="7"/>
                <w:sz w:val="22"/>
              </w:rPr>
              <w:t> </w:t>
            </w:r>
            <w:r>
              <w:rPr>
                <w:sz w:val="22"/>
              </w:rPr>
              <w:t>±</w:t>
            </w:r>
            <w:r>
              <w:rPr>
                <w:spacing w:val="2"/>
                <w:sz w:val="22"/>
              </w:rPr>
              <w:t> </w:t>
            </w:r>
            <w:r>
              <w:rPr>
                <w:spacing w:val="-5"/>
                <w:sz w:val="22"/>
              </w:rPr>
              <w:t>2.0</w:t>
            </w:r>
          </w:p>
        </w:tc>
        <w:tc>
          <w:tcPr>
            <w:tcW w:w="1740" w:type="dxa"/>
            <w:tcBorders>
              <w:top w:val="single" w:sz="8" w:space="0" w:color="4E80BC"/>
            </w:tcBorders>
          </w:tcPr>
          <w:p>
            <w:pPr>
              <w:pStyle w:val="TableParagraph"/>
              <w:ind w:left="180"/>
              <w:rPr>
                <w:sz w:val="22"/>
              </w:rPr>
            </w:pPr>
            <w:r>
              <w:rPr>
                <w:sz w:val="22"/>
              </w:rPr>
              <w:t>22.6</w:t>
            </w:r>
            <w:r>
              <w:rPr>
                <w:spacing w:val="7"/>
                <w:sz w:val="22"/>
              </w:rPr>
              <w:t> </w:t>
            </w:r>
            <w:r>
              <w:rPr>
                <w:sz w:val="22"/>
              </w:rPr>
              <w:t>±</w:t>
            </w:r>
            <w:r>
              <w:rPr>
                <w:spacing w:val="6"/>
                <w:sz w:val="22"/>
              </w:rPr>
              <w:t> </w:t>
            </w:r>
            <w:r>
              <w:rPr>
                <w:spacing w:val="-5"/>
                <w:sz w:val="22"/>
              </w:rPr>
              <w:t>6.6</w:t>
            </w:r>
          </w:p>
        </w:tc>
      </w:tr>
      <w:tr>
        <w:trPr>
          <w:trHeight w:val="384" w:hRule="atLeast"/>
        </w:trPr>
        <w:tc>
          <w:tcPr>
            <w:tcW w:w="1469" w:type="dxa"/>
          </w:tcPr>
          <w:p>
            <w:pPr>
              <w:pStyle w:val="TableParagraph"/>
              <w:spacing w:line="234" w:lineRule="exact" w:before="130"/>
              <w:rPr>
                <w:sz w:val="22"/>
              </w:rPr>
            </w:pPr>
            <w:r>
              <w:rPr>
                <w:spacing w:val="-2"/>
                <w:sz w:val="22"/>
              </w:rPr>
              <w:t>Experimental</w:t>
            </w:r>
          </w:p>
        </w:tc>
        <w:tc>
          <w:tcPr>
            <w:tcW w:w="1916" w:type="dxa"/>
          </w:tcPr>
          <w:p>
            <w:pPr>
              <w:pStyle w:val="TableParagraph"/>
              <w:spacing w:line="234" w:lineRule="exact" w:before="130"/>
              <w:ind w:left="153"/>
              <w:rPr>
                <w:sz w:val="22"/>
              </w:rPr>
            </w:pPr>
            <w:r>
              <w:rPr>
                <w:sz w:val="22"/>
              </w:rPr>
              <w:t>Carbon</w:t>
            </w:r>
            <w:r>
              <w:rPr>
                <w:spacing w:val="10"/>
                <w:sz w:val="22"/>
              </w:rPr>
              <w:t> </w:t>
            </w:r>
            <w:r>
              <w:rPr>
                <w:spacing w:val="-2"/>
                <w:sz w:val="22"/>
              </w:rPr>
              <w:t>monoxide</w:t>
            </w:r>
          </w:p>
        </w:tc>
        <w:tc>
          <w:tcPr>
            <w:tcW w:w="1324" w:type="dxa"/>
          </w:tcPr>
          <w:p>
            <w:pPr>
              <w:pStyle w:val="TableParagraph"/>
              <w:spacing w:line="234" w:lineRule="exact" w:before="130"/>
              <w:ind w:left="99"/>
              <w:rPr>
                <w:sz w:val="22"/>
              </w:rPr>
            </w:pPr>
            <w:r>
              <w:rPr>
                <w:sz w:val="22"/>
              </w:rPr>
              <w:t>48.4</w:t>
            </w:r>
            <w:r>
              <w:rPr>
                <w:spacing w:val="7"/>
                <w:sz w:val="22"/>
              </w:rPr>
              <w:t> </w:t>
            </w:r>
            <w:r>
              <w:rPr>
                <w:sz w:val="22"/>
              </w:rPr>
              <w:t>±</w:t>
            </w:r>
            <w:r>
              <w:rPr>
                <w:spacing w:val="6"/>
                <w:sz w:val="22"/>
              </w:rPr>
              <w:t> </w:t>
            </w:r>
            <w:r>
              <w:rPr>
                <w:spacing w:val="-4"/>
                <w:sz w:val="22"/>
              </w:rPr>
              <w:t>12.8</w:t>
            </w:r>
          </w:p>
        </w:tc>
        <w:tc>
          <w:tcPr>
            <w:tcW w:w="1384" w:type="dxa"/>
          </w:tcPr>
          <w:p>
            <w:pPr>
              <w:pStyle w:val="TableParagraph"/>
              <w:spacing w:line="234" w:lineRule="exact" w:before="130"/>
              <w:ind w:left="172"/>
              <w:rPr>
                <w:sz w:val="22"/>
              </w:rPr>
            </w:pPr>
            <w:r>
              <w:rPr>
                <w:sz w:val="22"/>
              </w:rPr>
              <w:t>51.6</w:t>
            </w:r>
            <w:r>
              <w:rPr>
                <w:spacing w:val="7"/>
                <w:sz w:val="22"/>
              </w:rPr>
              <w:t> </w:t>
            </w:r>
            <w:r>
              <w:rPr>
                <w:sz w:val="22"/>
              </w:rPr>
              <w:t>±</w:t>
            </w:r>
            <w:r>
              <w:rPr>
                <w:spacing w:val="2"/>
                <w:sz w:val="22"/>
              </w:rPr>
              <w:t> </w:t>
            </w:r>
            <w:r>
              <w:rPr>
                <w:spacing w:val="-4"/>
                <w:sz w:val="22"/>
              </w:rPr>
              <w:t>16.5</w:t>
            </w:r>
          </w:p>
        </w:tc>
        <w:tc>
          <w:tcPr>
            <w:tcW w:w="1740" w:type="dxa"/>
          </w:tcPr>
          <w:p>
            <w:pPr>
              <w:pStyle w:val="TableParagraph"/>
              <w:spacing w:line="234" w:lineRule="exact" w:before="130"/>
              <w:ind w:left="180"/>
              <w:rPr>
                <w:sz w:val="22"/>
              </w:rPr>
            </w:pPr>
            <w:r>
              <w:rPr>
                <w:sz w:val="22"/>
              </w:rPr>
              <w:t>66.8</w:t>
            </w:r>
            <w:r>
              <w:rPr>
                <w:spacing w:val="7"/>
                <w:sz w:val="22"/>
              </w:rPr>
              <w:t> </w:t>
            </w:r>
            <w:r>
              <w:rPr>
                <w:sz w:val="22"/>
              </w:rPr>
              <w:t>±</w:t>
            </w:r>
            <w:r>
              <w:rPr>
                <w:spacing w:val="6"/>
                <w:sz w:val="22"/>
              </w:rPr>
              <w:t> </w:t>
            </w:r>
            <w:r>
              <w:rPr>
                <w:spacing w:val="-4"/>
                <w:sz w:val="22"/>
              </w:rPr>
              <w:t>15.3</w:t>
            </w:r>
          </w:p>
        </w:tc>
      </w:tr>
    </w:tbl>
    <w:p>
      <w:pPr>
        <w:pStyle w:val="BodyText"/>
        <w:rPr>
          <w:b/>
          <w:sz w:val="20"/>
        </w:rPr>
      </w:pPr>
      <w:r>
        <w:rPr/>
        <mc:AlternateContent>
          <mc:Choice Requires="wps">
            <w:drawing>
              <wp:anchor distT="0" distB="0" distL="0" distR="0" allowOverlap="1" layoutInCell="1" locked="0" behindDoc="1" simplePos="0" relativeHeight="487602688">
                <wp:simplePos x="0" y="0"/>
                <wp:positionH relativeFrom="page">
                  <wp:posOffset>1441704</wp:posOffset>
                </wp:positionH>
                <wp:positionV relativeFrom="paragraph">
                  <wp:posOffset>161289</wp:posOffset>
                </wp:positionV>
                <wp:extent cx="4980940" cy="12700"/>
                <wp:effectExtent l="0" t="0" r="0" b="0"/>
                <wp:wrapTopAndBottom/>
                <wp:docPr id="174" name="Graphic 174"/>
                <wp:cNvGraphicFramePr>
                  <a:graphicFrameLocks/>
                </wp:cNvGraphicFramePr>
                <a:graphic>
                  <a:graphicData uri="http://schemas.microsoft.com/office/word/2010/wordprocessingShape">
                    <wps:wsp>
                      <wps:cNvPr id="174" name="Graphic 174"/>
                      <wps:cNvSpPr/>
                      <wps:spPr>
                        <a:xfrm>
                          <a:off x="0" y="0"/>
                          <a:ext cx="4980940" cy="12700"/>
                        </a:xfrm>
                        <a:custGeom>
                          <a:avLst/>
                          <a:gdLst/>
                          <a:ahLst/>
                          <a:cxnLst/>
                          <a:rect l="l" t="t" r="r" b="b"/>
                          <a:pathLst>
                            <a:path w="4980940" h="12700">
                              <a:moveTo>
                                <a:pt x="4980432" y="0"/>
                              </a:moveTo>
                              <a:lnTo>
                                <a:pt x="4980432" y="0"/>
                              </a:lnTo>
                              <a:lnTo>
                                <a:pt x="0" y="0"/>
                              </a:lnTo>
                              <a:lnTo>
                                <a:pt x="0" y="12192"/>
                              </a:lnTo>
                              <a:lnTo>
                                <a:pt x="4980432" y="12192"/>
                              </a:lnTo>
                              <a:lnTo>
                                <a:pt x="4980432"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rect style="position:absolute;margin-left:113.520004pt;margin-top:12.699976pt;width:392.160019pt;height:.96pt;mso-position-horizontal-relative:page;mso-position-vertical-relative:paragraph;z-index:-15713792;mso-wrap-distance-left:0;mso-wrap-distance-right:0" id="docshape158" filled="true" fillcolor="#4e80bc" stroked="false">
                <v:fill type="solid"/>
                <w10:wrap type="topAndBottom"/>
              </v:rect>
            </w:pict>
          </mc:Fallback>
        </mc:AlternateContent>
      </w:r>
    </w:p>
    <w:p>
      <w:pPr>
        <w:spacing w:after="0"/>
        <w:rPr>
          <w:sz w:val="20"/>
        </w:rPr>
        <w:sectPr>
          <w:pgSz w:w="12240" w:h="15840"/>
          <w:pgMar w:header="0" w:footer="916" w:top="1260" w:bottom="1100" w:left="1720" w:right="960"/>
        </w:sectPr>
      </w:pPr>
    </w:p>
    <w:p>
      <w:pPr>
        <w:pStyle w:val="Heading2"/>
        <w:ind w:right="246"/>
        <w:jc w:val="center"/>
      </w:pPr>
      <w:r>
        <w:rPr/>
        <w:t>APPENDIX</w:t>
      </w:r>
      <w:r>
        <w:rPr>
          <w:spacing w:val="17"/>
        </w:rPr>
        <w:t> </w:t>
      </w:r>
      <w:r>
        <w:rPr>
          <w:spacing w:val="-4"/>
        </w:rPr>
        <w:t>III:</w:t>
      </w:r>
    </w:p>
    <w:p>
      <w:pPr>
        <w:pStyle w:val="BodyText"/>
        <w:rPr>
          <w:b/>
        </w:rPr>
      </w:pPr>
    </w:p>
    <w:p>
      <w:pPr>
        <w:pStyle w:val="BodyText"/>
        <w:rPr>
          <w:b/>
        </w:rPr>
      </w:pPr>
    </w:p>
    <w:p>
      <w:pPr>
        <w:pStyle w:val="BodyText"/>
        <w:spacing w:before="25"/>
        <w:rPr>
          <w:b/>
        </w:rPr>
      </w:pPr>
    </w:p>
    <w:p>
      <w:pPr>
        <w:spacing w:line="491" w:lineRule="auto" w:before="0"/>
        <w:ind w:left="665" w:right="1109" w:firstLine="0"/>
        <w:jc w:val="left"/>
        <w:rPr>
          <w:b/>
          <w:sz w:val="22"/>
        </w:rPr>
      </w:pPr>
      <w:r>
        <w:rPr>
          <w:b/>
          <w:sz w:val="22"/>
        </w:rPr>
        <w:t>Table</w:t>
      </w:r>
      <w:r>
        <w:rPr>
          <w:b/>
          <w:spacing w:val="40"/>
          <w:sz w:val="22"/>
        </w:rPr>
        <w:t> </w:t>
      </w:r>
      <w:r>
        <w:rPr>
          <w:b/>
          <w:sz w:val="22"/>
        </w:rPr>
        <w:t>4.6:</w:t>
      </w:r>
      <w:r>
        <w:rPr>
          <w:b/>
          <w:spacing w:val="40"/>
          <w:sz w:val="22"/>
        </w:rPr>
        <w:t> </w:t>
      </w:r>
      <w:r>
        <w:rPr>
          <w:b/>
          <w:sz w:val="22"/>
        </w:rPr>
        <w:t>Transfer</w:t>
      </w:r>
      <w:r>
        <w:rPr>
          <w:b/>
          <w:spacing w:val="40"/>
          <w:sz w:val="22"/>
        </w:rPr>
        <w:t> </w:t>
      </w:r>
      <w:r>
        <w:rPr>
          <w:b/>
          <w:sz w:val="22"/>
        </w:rPr>
        <w:t>latencies</w:t>
      </w:r>
      <w:r>
        <w:rPr>
          <w:b/>
          <w:spacing w:val="40"/>
          <w:sz w:val="22"/>
        </w:rPr>
        <w:t> </w:t>
      </w:r>
      <w:r>
        <w:rPr>
          <w:b/>
          <w:sz w:val="22"/>
        </w:rPr>
        <w:t>during</w:t>
      </w:r>
      <w:r>
        <w:rPr>
          <w:b/>
          <w:spacing w:val="40"/>
          <w:sz w:val="22"/>
        </w:rPr>
        <w:t> </w:t>
      </w:r>
      <w:r>
        <w:rPr>
          <w:b/>
          <w:sz w:val="22"/>
        </w:rPr>
        <w:t>acquisition</w:t>
      </w:r>
      <w:r>
        <w:rPr>
          <w:b/>
          <w:spacing w:val="40"/>
          <w:sz w:val="22"/>
        </w:rPr>
        <w:t> </w:t>
      </w:r>
      <w:r>
        <w:rPr>
          <w:b/>
          <w:sz w:val="22"/>
        </w:rPr>
        <w:t>and</w:t>
      </w:r>
      <w:r>
        <w:rPr>
          <w:b/>
          <w:spacing w:val="40"/>
          <w:sz w:val="22"/>
        </w:rPr>
        <w:t> </w:t>
      </w:r>
      <w:r>
        <w:rPr>
          <w:b/>
          <w:sz w:val="22"/>
        </w:rPr>
        <w:t>recall</w:t>
      </w:r>
      <w:r>
        <w:rPr>
          <w:b/>
          <w:spacing w:val="40"/>
          <w:sz w:val="22"/>
        </w:rPr>
        <w:t> </w:t>
      </w:r>
      <w:r>
        <w:rPr>
          <w:b/>
          <w:sz w:val="22"/>
        </w:rPr>
        <w:t>tasks</w:t>
      </w:r>
      <w:r>
        <w:rPr>
          <w:b/>
          <w:spacing w:val="40"/>
          <w:sz w:val="22"/>
        </w:rPr>
        <w:t> </w:t>
      </w:r>
      <w:r>
        <w:rPr>
          <w:b/>
          <w:sz w:val="22"/>
        </w:rPr>
        <w:t>in</w:t>
      </w:r>
      <w:r>
        <w:rPr>
          <w:b/>
          <w:spacing w:val="40"/>
          <w:sz w:val="22"/>
        </w:rPr>
        <w:t> </w:t>
      </w:r>
      <w:r>
        <w:rPr>
          <w:b/>
          <w:sz w:val="22"/>
        </w:rPr>
        <w:t>the</w:t>
      </w:r>
      <w:r>
        <w:rPr>
          <w:b/>
          <w:spacing w:val="40"/>
          <w:sz w:val="22"/>
        </w:rPr>
        <w:t> </w:t>
      </w:r>
      <w:r>
        <w:rPr>
          <w:b/>
          <w:sz w:val="22"/>
        </w:rPr>
        <w:t>control</w:t>
      </w:r>
      <w:r>
        <w:rPr>
          <w:b/>
          <w:spacing w:val="40"/>
          <w:sz w:val="22"/>
        </w:rPr>
        <w:t> </w:t>
      </w:r>
      <w:r>
        <w:rPr>
          <w:b/>
          <w:spacing w:val="-2"/>
          <w:sz w:val="22"/>
        </w:rPr>
        <w:t>group.</w:t>
      </w:r>
    </w:p>
    <w:p>
      <w:pPr>
        <w:pStyle w:val="BodyText"/>
        <w:rPr>
          <w:b/>
          <w:sz w:val="20"/>
        </w:rPr>
      </w:pPr>
    </w:p>
    <w:p>
      <w:pPr>
        <w:pStyle w:val="BodyText"/>
        <w:spacing w:before="28"/>
        <w:rPr>
          <w:b/>
          <w:sz w:val="20"/>
        </w:rPr>
      </w:pPr>
      <w:r>
        <w:rPr/>
        <mc:AlternateContent>
          <mc:Choice Requires="wps">
            <w:drawing>
              <wp:anchor distT="0" distB="0" distL="0" distR="0" allowOverlap="1" layoutInCell="1" locked="0" behindDoc="1" simplePos="0" relativeHeight="487603200">
                <wp:simplePos x="0" y="0"/>
                <wp:positionH relativeFrom="page">
                  <wp:posOffset>1450848</wp:posOffset>
                </wp:positionH>
                <wp:positionV relativeFrom="paragraph">
                  <wp:posOffset>179256</wp:posOffset>
                </wp:positionV>
                <wp:extent cx="4041775" cy="12700"/>
                <wp:effectExtent l="0" t="0" r="0" b="0"/>
                <wp:wrapTopAndBottom/>
                <wp:docPr id="175" name="Graphic 175"/>
                <wp:cNvGraphicFramePr>
                  <a:graphicFrameLocks/>
                </wp:cNvGraphicFramePr>
                <a:graphic>
                  <a:graphicData uri="http://schemas.microsoft.com/office/word/2010/wordprocessingShape">
                    <wps:wsp>
                      <wps:cNvPr id="175" name="Graphic 175"/>
                      <wps:cNvSpPr/>
                      <wps:spPr>
                        <a:xfrm>
                          <a:off x="0" y="0"/>
                          <a:ext cx="4041775" cy="12700"/>
                        </a:xfrm>
                        <a:custGeom>
                          <a:avLst/>
                          <a:gdLst/>
                          <a:ahLst/>
                          <a:cxnLst/>
                          <a:rect l="l" t="t" r="r" b="b"/>
                          <a:pathLst>
                            <a:path w="4041775" h="12700">
                              <a:moveTo>
                                <a:pt x="4041648" y="0"/>
                              </a:moveTo>
                              <a:lnTo>
                                <a:pt x="1246632" y="0"/>
                              </a:lnTo>
                              <a:lnTo>
                                <a:pt x="1237488" y="0"/>
                              </a:lnTo>
                              <a:lnTo>
                                <a:pt x="0" y="0"/>
                              </a:lnTo>
                              <a:lnTo>
                                <a:pt x="0" y="12192"/>
                              </a:lnTo>
                              <a:lnTo>
                                <a:pt x="1237488" y="12192"/>
                              </a:lnTo>
                              <a:lnTo>
                                <a:pt x="1246632" y="12192"/>
                              </a:lnTo>
                              <a:lnTo>
                                <a:pt x="4041648" y="12192"/>
                              </a:lnTo>
                              <a:lnTo>
                                <a:pt x="4041648"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shape style="position:absolute;margin-left:114.240005pt;margin-top:14.11465pt;width:318.25pt;height:1pt;mso-position-horizontal-relative:page;mso-position-vertical-relative:paragraph;z-index:-15713280;mso-wrap-distance-left:0;mso-wrap-distance-right:0" id="docshape159" coordorigin="2285,282" coordsize="6365,20" path="m8650,282l4248,282,4234,282,2285,282,2285,301,4234,301,4248,301,8650,301,8650,282xe" filled="true" fillcolor="#4e80bc" stroked="false">
                <v:path arrowok="t"/>
                <v:fill type="solid"/>
                <w10:wrap type="topAndBottom"/>
              </v:shape>
            </w:pict>
          </mc:Fallback>
        </mc:AlternateContent>
      </w:r>
    </w:p>
    <w:p>
      <w:pPr>
        <w:tabs>
          <w:tab w:pos="2609" w:val="left" w:leader="none"/>
        </w:tabs>
        <w:spacing w:before="10"/>
        <w:ind w:left="665" w:right="0" w:firstLine="0"/>
        <w:jc w:val="left"/>
        <w:rPr>
          <w:b/>
          <w:sz w:val="22"/>
        </w:rPr>
      </w:pPr>
      <w:r>
        <w:rPr>
          <w:b/>
          <w:sz w:val="22"/>
        </w:rPr>
        <w:t>Duration</w:t>
      </w:r>
      <w:r>
        <w:rPr>
          <w:b/>
          <w:spacing w:val="18"/>
          <w:sz w:val="22"/>
        </w:rPr>
        <w:t> </w:t>
      </w:r>
      <w:r>
        <w:rPr>
          <w:b/>
          <w:spacing w:val="-5"/>
          <w:sz w:val="22"/>
        </w:rPr>
        <w:t>of</w:t>
      </w:r>
      <w:r>
        <w:rPr>
          <w:b/>
          <w:sz w:val="22"/>
        </w:rPr>
        <w:tab/>
        <w:t>Transfer</w:t>
      </w:r>
      <w:r>
        <w:rPr>
          <w:b/>
          <w:spacing w:val="13"/>
          <w:sz w:val="22"/>
        </w:rPr>
        <w:t> </w:t>
      </w:r>
      <w:r>
        <w:rPr>
          <w:b/>
          <w:sz w:val="22"/>
        </w:rPr>
        <w:t>latency</w:t>
      </w:r>
      <w:r>
        <w:rPr>
          <w:b/>
          <w:spacing w:val="5"/>
          <w:sz w:val="22"/>
        </w:rPr>
        <w:t> </w:t>
      </w:r>
      <w:r>
        <w:rPr>
          <w:b/>
          <w:sz w:val="22"/>
        </w:rPr>
        <w:t>(Mean</w:t>
      </w:r>
      <w:r>
        <w:rPr>
          <w:b/>
          <w:spacing w:val="6"/>
          <w:sz w:val="22"/>
        </w:rPr>
        <w:t> </w:t>
      </w:r>
      <w:r>
        <w:rPr>
          <w:sz w:val="22"/>
        </w:rPr>
        <w:t>±</w:t>
      </w:r>
      <w:r>
        <w:rPr>
          <w:spacing w:val="20"/>
          <w:sz w:val="22"/>
        </w:rPr>
        <w:t> </w:t>
      </w:r>
      <w:r>
        <w:rPr>
          <w:b/>
          <w:sz w:val="22"/>
        </w:rPr>
        <w:t>SEM)</w:t>
      </w:r>
      <w:r>
        <w:rPr>
          <w:b/>
          <w:spacing w:val="15"/>
          <w:sz w:val="22"/>
        </w:rPr>
        <w:t> </w:t>
      </w:r>
      <w:r>
        <w:rPr>
          <w:b/>
          <w:spacing w:val="-2"/>
          <w:sz w:val="22"/>
        </w:rPr>
        <w:t>(Seconds)</w:t>
      </w:r>
    </w:p>
    <w:p>
      <w:pPr>
        <w:pStyle w:val="BodyText"/>
        <w:spacing w:before="37"/>
        <w:rPr>
          <w:b/>
          <w:sz w:val="20"/>
        </w:rPr>
      </w:pPr>
    </w:p>
    <w:tbl>
      <w:tblPr>
        <w:tblW w:w="0" w:type="auto"/>
        <w:jc w:val="left"/>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49"/>
        <w:gridCol w:w="1705"/>
        <w:gridCol w:w="2711"/>
      </w:tblGrid>
      <w:tr>
        <w:trPr>
          <w:trHeight w:val="517" w:hRule="atLeast"/>
        </w:trPr>
        <w:tc>
          <w:tcPr>
            <w:tcW w:w="1949" w:type="dxa"/>
            <w:tcBorders>
              <w:bottom w:val="single" w:sz="8" w:space="0" w:color="4E80BC"/>
            </w:tcBorders>
          </w:tcPr>
          <w:p>
            <w:pPr>
              <w:pStyle w:val="TableParagraph"/>
              <w:spacing w:line="244" w:lineRule="exact"/>
              <w:rPr>
                <w:b/>
                <w:sz w:val="22"/>
              </w:rPr>
            </w:pPr>
            <w:r>
              <w:rPr>
                <w:b/>
                <w:spacing w:val="-2"/>
                <w:sz w:val="22"/>
              </w:rPr>
              <w:t>exposure</w:t>
            </w:r>
          </w:p>
        </w:tc>
        <w:tc>
          <w:tcPr>
            <w:tcW w:w="1705" w:type="dxa"/>
            <w:tcBorders>
              <w:top w:val="single" w:sz="6" w:space="0" w:color="4E80BC"/>
              <w:bottom w:val="single" w:sz="8" w:space="0" w:color="4E80BC"/>
            </w:tcBorders>
          </w:tcPr>
          <w:p>
            <w:pPr>
              <w:pStyle w:val="TableParagraph"/>
              <w:spacing w:before="10"/>
              <w:ind w:left="95"/>
              <w:rPr>
                <w:b/>
                <w:sz w:val="22"/>
              </w:rPr>
            </w:pPr>
            <w:r>
              <w:rPr>
                <w:b/>
                <w:sz w:val="22"/>
              </w:rPr>
              <w:t>Day-</w:t>
            </w:r>
            <w:r>
              <w:rPr>
                <w:b/>
                <w:spacing w:val="8"/>
                <w:sz w:val="22"/>
              </w:rPr>
              <w:t> </w:t>
            </w:r>
            <w:r>
              <w:rPr>
                <w:b/>
                <w:spacing w:val="-10"/>
                <w:sz w:val="22"/>
              </w:rPr>
              <w:t>1</w:t>
            </w:r>
          </w:p>
        </w:tc>
        <w:tc>
          <w:tcPr>
            <w:tcW w:w="2711" w:type="dxa"/>
            <w:tcBorders>
              <w:top w:val="single" w:sz="6" w:space="0" w:color="4E80BC"/>
              <w:bottom w:val="single" w:sz="8" w:space="0" w:color="4E80BC"/>
            </w:tcBorders>
          </w:tcPr>
          <w:p>
            <w:pPr>
              <w:pStyle w:val="TableParagraph"/>
              <w:spacing w:before="10"/>
              <w:ind w:left="584"/>
              <w:rPr>
                <w:b/>
                <w:sz w:val="22"/>
              </w:rPr>
            </w:pPr>
            <w:r>
              <w:rPr>
                <w:b/>
                <w:sz w:val="22"/>
              </w:rPr>
              <w:t>Day-</w:t>
            </w:r>
            <w:r>
              <w:rPr>
                <w:b/>
                <w:spacing w:val="8"/>
                <w:sz w:val="22"/>
              </w:rPr>
              <w:t> </w:t>
            </w:r>
            <w:r>
              <w:rPr>
                <w:b/>
                <w:spacing w:val="-10"/>
                <w:sz w:val="22"/>
              </w:rPr>
              <w:t>2</w:t>
            </w:r>
          </w:p>
        </w:tc>
      </w:tr>
      <w:tr>
        <w:trPr>
          <w:trHeight w:val="393" w:hRule="atLeast"/>
        </w:trPr>
        <w:tc>
          <w:tcPr>
            <w:tcW w:w="1949" w:type="dxa"/>
            <w:tcBorders>
              <w:top w:val="single" w:sz="8" w:space="0" w:color="4E80BC"/>
            </w:tcBorders>
          </w:tcPr>
          <w:p>
            <w:pPr>
              <w:pStyle w:val="TableParagraph"/>
              <w:spacing w:before="5"/>
              <w:rPr>
                <w:b/>
                <w:sz w:val="22"/>
              </w:rPr>
            </w:pPr>
            <w:r>
              <w:rPr>
                <w:b/>
                <w:sz w:val="22"/>
              </w:rPr>
              <w:t>30</w:t>
            </w:r>
            <w:r>
              <w:rPr>
                <w:b/>
                <w:spacing w:val="6"/>
                <w:sz w:val="22"/>
              </w:rPr>
              <w:t> </w:t>
            </w:r>
            <w:r>
              <w:rPr>
                <w:b/>
                <w:spacing w:val="-2"/>
                <w:sz w:val="22"/>
              </w:rPr>
              <w:t>minutes</w:t>
            </w:r>
          </w:p>
        </w:tc>
        <w:tc>
          <w:tcPr>
            <w:tcW w:w="1705" w:type="dxa"/>
            <w:tcBorders>
              <w:top w:val="single" w:sz="8" w:space="0" w:color="4E80BC"/>
            </w:tcBorders>
          </w:tcPr>
          <w:p>
            <w:pPr>
              <w:pStyle w:val="TableParagraph"/>
              <w:ind w:left="95"/>
              <w:rPr>
                <w:sz w:val="22"/>
              </w:rPr>
            </w:pPr>
            <w:r>
              <w:rPr>
                <w:sz w:val="22"/>
              </w:rPr>
              <w:t>28.6</w:t>
            </w:r>
            <w:r>
              <w:rPr>
                <w:spacing w:val="4"/>
                <w:sz w:val="22"/>
              </w:rPr>
              <w:t> </w:t>
            </w:r>
            <w:r>
              <w:rPr>
                <w:sz w:val="22"/>
              </w:rPr>
              <w:t>±</w:t>
            </w:r>
            <w:r>
              <w:rPr>
                <w:spacing w:val="9"/>
                <w:sz w:val="22"/>
              </w:rPr>
              <w:t> </w:t>
            </w:r>
            <w:r>
              <w:rPr>
                <w:spacing w:val="-5"/>
                <w:sz w:val="22"/>
              </w:rPr>
              <w:t>5.2</w:t>
            </w:r>
          </w:p>
        </w:tc>
        <w:tc>
          <w:tcPr>
            <w:tcW w:w="2711" w:type="dxa"/>
            <w:tcBorders>
              <w:top w:val="single" w:sz="8" w:space="0" w:color="4E80BC"/>
            </w:tcBorders>
          </w:tcPr>
          <w:p>
            <w:pPr>
              <w:pStyle w:val="TableParagraph"/>
              <w:ind w:left="584"/>
              <w:rPr>
                <w:sz w:val="22"/>
              </w:rPr>
            </w:pPr>
            <w:r>
              <w:rPr>
                <w:sz w:val="22"/>
              </w:rPr>
              <w:t>13.6</w:t>
            </w:r>
            <w:r>
              <w:rPr>
                <w:spacing w:val="7"/>
                <w:sz w:val="22"/>
              </w:rPr>
              <w:t> </w:t>
            </w:r>
            <w:r>
              <w:rPr>
                <w:sz w:val="22"/>
              </w:rPr>
              <w:t>±</w:t>
            </w:r>
            <w:r>
              <w:rPr>
                <w:spacing w:val="6"/>
                <w:sz w:val="22"/>
              </w:rPr>
              <w:t> </w:t>
            </w:r>
            <w:r>
              <w:rPr>
                <w:spacing w:val="-5"/>
                <w:sz w:val="22"/>
              </w:rPr>
              <w:t>1.9</w:t>
            </w:r>
          </w:p>
        </w:tc>
      </w:tr>
      <w:tr>
        <w:trPr>
          <w:trHeight w:val="520" w:hRule="atLeast"/>
        </w:trPr>
        <w:tc>
          <w:tcPr>
            <w:tcW w:w="1949" w:type="dxa"/>
          </w:tcPr>
          <w:p>
            <w:pPr>
              <w:pStyle w:val="TableParagraph"/>
              <w:spacing w:before="134"/>
              <w:rPr>
                <w:b/>
                <w:sz w:val="22"/>
              </w:rPr>
            </w:pPr>
            <w:r>
              <w:rPr>
                <w:b/>
                <w:sz w:val="22"/>
              </w:rPr>
              <w:t>1</w:t>
            </w:r>
            <w:r>
              <w:rPr>
                <w:b/>
                <w:spacing w:val="6"/>
                <w:sz w:val="22"/>
              </w:rPr>
              <w:t> </w:t>
            </w:r>
            <w:r>
              <w:rPr>
                <w:b/>
                <w:spacing w:val="-4"/>
                <w:sz w:val="22"/>
              </w:rPr>
              <w:t>hour</w:t>
            </w:r>
          </w:p>
        </w:tc>
        <w:tc>
          <w:tcPr>
            <w:tcW w:w="1705" w:type="dxa"/>
          </w:tcPr>
          <w:p>
            <w:pPr>
              <w:pStyle w:val="TableParagraph"/>
              <w:spacing w:before="130"/>
              <w:ind w:left="95"/>
              <w:rPr>
                <w:sz w:val="22"/>
              </w:rPr>
            </w:pPr>
            <w:r>
              <w:rPr>
                <w:sz w:val="22"/>
              </w:rPr>
              <w:t>21.8</w:t>
            </w:r>
            <w:r>
              <w:rPr>
                <w:spacing w:val="4"/>
                <w:sz w:val="22"/>
              </w:rPr>
              <w:t> </w:t>
            </w:r>
            <w:r>
              <w:rPr>
                <w:sz w:val="22"/>
              </w:rPr>
              <w:t>±</w:t>
            </w:r>
            <w:r>
              <w:rPr>
                <w:spacing w:val="9"/>
                <w:sz w:val="22"/>
              </w:rPr>
              <w:t> </w:t>
            </w:r>
            <w:r>
              <w:rPr>
                <w:spacing w:val="-5"/>
                <w:sz w:val="22"/>
              </w:rPr>
              <w:t>4.4</w:t>
            </w:r>
          </w:p>
        </w:tc>
        <w:tc>
          <w:tcPr>
            <w:tcW w:w="2711" w:type="dxa"/>
          </w:tcPr>
          <w:p>
            <w:pPr>
              <w:pStyle w:val="TableParagraph"/>
              <w:spacing w:before="130"/>
              <w:ind w:left="584"/>
              <w:rPr>
                <w:sz w:val="22"/>
              </w:rPr>
            </w:pPr>
            <w:r>
              <w:rPr>
                <w:sz w:val="22"/>
              </w:rPr>
              <w:t>14.4</w:t>
            </w:r>
            <w:r>
              <w:rPr>
                <w:spacing w:val="7"/>
                <w:sz w:val="22"/>
              </w:rPr>
              <w:t> </w:t>
            </w:r>
            <w:r>
              <w:rPr>
                <w:sz w:val="22"/>
              </w:rPr>
              <w:t>±</w:t>
            </w:r>
            <w:r>
              <w:rPr>
                <w:spacing w:val="6"/>
                <w:sz w:val="22"/>
              </w:rPr>
              <w:t> </w:t>
            </w:r>
            <w:r>
              <w:rPr>
                <w:spacing w:val="-5"/>
                <w:sz w:val="22"/>
              </w:rPr>
              <w:t>2.0</w:t>
            </w:r>
          </w:p>
        </w:tc>
      </w:tr>
      <w:tr>
        <w:trPr>
          <w:trHeight w:val="386" w:hRule="atLeast"/>
        </w:trPr>
        <w:tc>
          <w:tcPr>
            <w:tcW w:w="1949" w:type="dxa"/>
          </w:tcPr>
          <w:p>
            <w:pPr>
              <w:pStyle w:val="TableParagraph"/>
              <w:spacing w:line="234" w:lineRule="exact" w:before="132"/>
              <w:rPr>
                <w:b/>
                <w:sz w:val="22"/>
              </w:rPr>
            </w:pPr>
            <w:r>
              <w:rPr>
                <w:b/>
                <w:sz w:val="22"/>
              </w:rPr>
              <w:t>2</w:t>
            </w:r>
            <w:r>
              <w:rPr>
                <w:b/>
                <w:spacing w:val="6"/>
                <w:sz w:val="22"/>
              </w:rPr>
              <w:t> </w:t>
            </w:r>
            <w:r>
              <w:rPr>
                <w:b/>
                <w:spacing w:val="-2"/>
                <w:sz w:val="22"/>
              </w:rPr>
              <w:t>hours</w:t>
            </w:r>
          </w:p>
        </w:tc>
        <w:tc>
          <w:tcPr>
            <w:tcW w:w="1705" w:type="dxa"/>
          </w:tcPr>
          <w:p>
            <w:pPr>
              <w:pStyle w:val="TableParagraph"/>
              <w:spacing w:line="239" w:lineRule="exact" w:before="127"/>
              <w:ind w:left="95"/>
              <w:rPr>
                <w:sz w:val="22"/>
              </w:rPr>
            </w:pPr>
            <w:r>
              <w:rPr>
                <w:sz w:val="22"/>
              </w:rPr>
              <w:t>26.0</w:t>
            </w:r>
            <w:r>
              <w:rPr>
                <w:spacing w:val="4"/>
                <w:sz w:val="22"/>
              </w:rPr>
              <w:t> </w:t>
            </w:r>
            <w:r>
              <w:rPr>
                <w:sz w:val="22"/>
              </w:rPr>
              <w:t>±</w:t>
            </w:r>
            <w:r>
              <w:rPr>
                <w:spacing w:val="9"/>
                <w:sz w:val="22"/>
              </w:rPr>
              <w:t> </w:t>
            </w:r>
            <w:r>
              <w:rPr>
                <w:spacing w:val="-4"/>
                <w:sz w:val="22"/>
              </w:rPr>
              <w:t>10.5</w:t>
            </w:r>
          </w:p>
        </w:tc>
        <w:tc>
          <w:tcPr>
            <w:tcW w:w="2711" w:type="dxa"/>
          </w:tcPr>
          <w:p>
            <w:pPr>
              <w:pStyle w:val="TableParagraph"/>
              <w:spacing w:line="239" w:lineRule="exact" w:before="127"/>
              <w:ind w:left="584"/>
              <w:rPr>
                <w:sz w:val="22"/>
              </w:rPr>
            </w:pPr>
            <w:r>
              <w:rPr>
                <w:sz w:val="22"/>
              </w:rPr>
              <w:t>22.6</w:t>
            </w:r>
            <w:r>
              <w:rPr>
                <w:spacing w:val="7"/>
                <w:sz w:val="22"/>
              </w:rPr>
              <w:t> </w:t>
            </w:r>
            <w:r>
              <w:rPr>
                <w:sz w:val="22"/>
              </w:rPr>
              <w:t>±</w:t>
            </w:r>
            <w:r>
              <w:rPr>
                <w:spacing w:val="6"/>
                <w:sz w:val="22"/>
              </w:rPr>
              <w:t> </w:t>
            </w:r>
            <w:r>
              <w:rPr>
                <w:spacing w:val="-5"/>
                <w:sz w:val="22"/>
              </w:rPr>
              <w:t>6.6</w:t>
            </w:r>
          </w:p>
        </w:tc>
      </w:tr>
    </w:tbl>
    <w:p>
      <w:pPr>
        <w:pStyle w:val="BodyText"/>
        <w:spacing w:before="11"/>
        <w:rPr>
          <w:b/>
          <w:sz w:val="19"/>
        </w:rPr>
      </w:pPr>
      <w:r>
        <w:rPr/>
        <mc:AlternateContent>
          <mc:Choice Requires="wps">
            <w:drawing>
              <wp:anchor distT="0" distB="0" distL="0" distR="0" allowOverlap="1" layoutInCell="1" locked="0" behindDoc="1" simplePos="0" relativeHeight="487603712">
                <wp:simplePos x="0" y="0"/>
                <wp:positionH relativeFrom="page">
                  <wp:posOffset>1441704</wp:posOffset>
                </wp:positionH>
                <wp:positionV relativeFrom="paragraph">
                  <wp:posOffset>160960</wp:posOffset>
                </wp:positionV>
                <wp:extent cx="4051300" cy="9525"/>
                <wp:effectExtent l="0" t="0" r="0" b="0"/>
                <wp:wrapTopAndBottom/>
                <wp:docPr id="176" name="Graphic 176"/>
                <wp:cNvGraphicFramePr>
                  <a:graphicFrameLocks/>
                </wp:cNvGraphicFramePr>
                <a:graphic>
                  <a:graphicData uri="http://schemas.microsoft.com/office/word/2010/wordprocessingShape">
                    <wps:wsp>
                      <wps:cNvPr id="176" name="Graphic 176"/>
                      <wps:cNvSpPr/>
                      <wps:spPr>
                        <a:xfrm>
                          <a:off x="0" y="0"/>
                          <a:ext cx="4051300" cy="9525"/>
                        </a:xfrm>
                        <a:custGeom>
                          <a:avLst/>
                          <a:gdLst/>
                          <a:ahLst/>
                          <a:cxnLst/>
                          <a:rect l="l" t="t" r="r" b="b"/>
                          <a:pathLst>
                            <a:path w="4051300" h="9525">
                              <a:moveTo>
                                <a:pt x="4050792" y="0"/>
                              </a:moveTo>
                              <a:lnTo>
                                <a:pt x="4050792" y="0"/>
                              </a:lnTo>
                              <a:lnTo>
                                <a:pt x="0" y="0"/>
                              </a:lnTo>
                              <a:lnTo>
                                <a:pt x="0" y="9144"/>
                              </a:lnTo>
                              <a:lnTo>
                                <a:pt x="4050792" y="9144"/>
                              </a:lnTo>
                              <a:lnTo>
                                <a:pt x="4050792"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rect style="position:absolute;margin-left:113.520004pt;margin-top:12.67405pt;width:318.960015pt;height:.72pt;mso-position-horizontal-relative:page;mso-position-vertical-relative:paragraph;z-index:-15712768;mso-wrap-distance-left:0;mso-wrap-distance-right:0" id="docshape160" filled="true" fillcolor="#4e80bc" stroked="false">
                <v:fill type="solid"/>
                <w10:wrap type="topAndBottom"/>
              </v:rect>
            </w:pict>
          </mc:Fallback>
        </mc:AlternateContent>
      </w:r>
    </w:p>
    <w:p>
      <w:pPr>
        <w:spacing w:after="0"/>
        <w:rPr>
          <w:sz w:val="19"/>
        </w:rPr>
        <w:sectPr>
          <w:pgSz w:w="12240" w:h="15840"/>
          <w:pgMar w:header="0" w:footer="916" w:top="1260" w:bottom="1100" w:left="1720" w:right="960"/>
        </w:sectPr>
      </w:pPr>
    </w:p>
    <w:p>
      <w:pPr>
        <w:pStyle w:val="Heading2"/>
        <w:ind w:right="242"/>
        <w:jc w:val="center"/>
      </w:pPr>
      <w:r>
        <w:rPr/>
        <w:t>APPENDIX</w:t>
      </w:r>
      <w:r>
        <w:rPr>
          <w:spacing w:val="17"/>
        </w:rPr>
        <w:t> </w:t>
      </w:r>
      <w:r>
        <w:rPr>
          <w:spacing w:val="-5"/>
        </w:rPr>
        <w:t>IV:</w:t>
      </w:r>
    </w:p>
    <w:p>
      <w:pPr>
        <w:pStyle w:val="BodyText"/>
        <w:rPr>
          <w:b/>
        </w:rPr>
      </w:pPr>
    </w:p>
    <w:p>
      <w:pPr>
        <w:pStyle w:val="BodyText"/>
        <w:rPr>
          <w:b/>
        </w:rPr>
      </w:pPr>
    </w:p>
    <w:p>
      <w:pPr>
        <w:pStyle w:val="BodyText"/>
        <w:spacing w:before="25"/>
        <w:rPr>
          <w:b/>
        </w:rPr>
      </w:pPr>
    </w:p>
    <w:p>
      <w:pPr>
        <w:spacing w:line="491" w:lineRule="auto" w:before="0"/>
        <w:ind w:left="665" w:right="0" w:firstLine="0"/>
        <w:jc w:val="left"/>
        <w:rPr>
          <w:b/>
          <w:sz w:val="22"/>
        </w:rPr>
      </w:pPr>
      <w:r>
        <w:rPr>
          <w:b/>
          <w:sz w:val="22"/>
        </w:rPr>
        <w:t>Table</w:t>
      </w:r>
      <w:r>
        <w:rPr>
          <w:b/>
          <w:spacing w:val="80"/>
          <w:w w:val="150"/>
          <w:sz w:val="22"/>
        </w:rPr>
        <w:t> </w:t>
      </w:r>
      <w:r>
        <w:rPr>
          <w:b/>
          <w:sz w:val="22"/>
        </w:rPr>
        <w:t>4.7:</w:t>
      </w:r>
      <w:r>
        <w:rPr>
          <w:b/>
          <w:spacing w:val="80"/>
          <w:w w:val="150"/>
          <w:sz w:val="22"/>
        </w:rPr>
        <w:t> </w:t>
      </w:r>
      <w:r>
        <w:rPr>
          <w:b/>
          <w:sz w:val="22"/>
        </w:rPr>
        <w:t>Transfer</w:t>
      </w:r>
      <w:r>
        <w:rPr>
          <w:b/>
          <w:spacing w:val="40"/>
          <w:sz w:val="22"/>
        </w:rPr>
        <w:t>  </w:t>
      </w:r>
      <w:r>
        <w:rPr>
          <w:b/>
          <w:sz w:val="22"/>
        </w:rPr>
        <w:t>latencies</w:t>
      </w:r>
      <w:r>
        <w:rPr>
          <w:b/>
          <w:spacing w:val="80"/>
          <w:w w:val="150"/>
          <w:sz w:val="22"/>
        </w:rPr>
        <w:t> </w:t>
      </w:r>
      <w:r>
        <w:rPr>
          <w:b/>
          <w:sz w:val="22"/>
        </w:rPr>
        <w:t>during</w:t>
      </w:r>
      <w:r>
        <w:rPr>
          <w:b/>
          <w:spacing w:val="40"/>
          <w:sz w:val="22"/>
        </w:rPr>
        <w:t>  </w:t>
      </w:r>
      <w:r>
        <w:rPr>
          <w:b/>
          <w:sz w:val="22"/>
        </w:rPr>
        <w:t>acquisition</w:t>
      </w:r>
      <w:r>
        <w:rPr>
          <w:b/>
          <w:spacing w:val="80"/>
          <w:w w:val="150"/>
          <w:sz w:val="22"/>
        </w:rPr>
        <w:t> </w:t>
      </w:r>
      <w:r>
        <w:rPr>
          <w:b/>
          <w:sz w:val="22"/>
        </w:rPr>
        <w:t>and</w:t>
      </w:r>
      <w:r>
        <w:rPr>
          <w:b/>
          <w:spacing w:val="40"/>
          <w:sz w:val="22"/>
        </w:rPr>
        <w:t>  </w:t>
      </w:r>
      <w:r>
        <w:rPr>
          <w:b/>
          <w:sz w:val="22"/>
        </w:rPr>
        <w:t>recall</w:t>
      </w:r>
      <w:r>
        <w:rPr>
          <w:b/>
          <w:spacing w:val="40"/>
          <w:sz w:val="22"/>
        </w:rPr>
        <w:t>  </w:t>
      </w:r>
      <w:r>
        <w:rPr>
          <w:b/>
          <w:sz w:val="22"/>
        </w:rPr>
        <w:t>tasks</w:t>
      </w:r>
      <w:r>
        <w:rPr>
          <w:b/>
          <w:spacing w:val="40"/>
          <w:sz w:val="22"/>
        </w:rPr>
        <w:t>  </w:t>
      </w:r>
      <w:r>
        <w:rPr>
          <w:b/>
          <w:sz w:val="22"/>
        </w:rPr>
        <w:t>in</w:t>
      </w:r>
      <w:r>
        <w:rPr>
          <w:b/>
          <w:spacing w:val="40"/>
          <w:sz w:val="22"/>
        </w:rPr>
        <w:t>  </w:t>
      </w:r>
      <w:r>
        <w:rPr>
          <w:b/>
          <w:sz w:val="22"/>
        </w:rPr>
        <w:t>the experimental group.</w:t>
      </w:r>
    </w:p>
    <w:p>
      <w:pPr>
        <w:pStyle w:val="BodyText"/>
        <w:rPr>
          <w:b/>
          <w:sz w:val="20"/>
        </w:rPr>
      </w:pPr>
    </w:p>
    <w:p>
      <w:pPr>
        <w:pStyle w:val="BodyText"/>
        <w:spacing w:before="28"/>
        <w:rPr>
          <w:b/>
          <w:sz w:val="20"/>
        </w:rPr>
      </w:pPr>
      <w:r>
        <w:rPr/>
        <mc:AlternateContent>
          <mc:Choice Requires="wps">
            <w:drawing>
              <wp:anchor distT="0" distB="0" distL="0" distR="0" allowOverlap="1" layoutInCell="1" locked="0" behindDoc="1" simplePos="0" relativeHeight="487604224">
                <wp:simplePos x="0" y="0"/>
                <wp:positionH relativeFrom="page">
                  <wp:posOffset>1450848</wp:posOffset>
                </wp:positionH>
                <wp:positionV relativeFrom="paragraph">
                  <wp:posOffset>179256</wp:posOffset>
                </wp:positionV>
                <wp:extent cx="4041775" cy="12700"/>
                <wp:effectExtent l="0" t="0" r="0" b="0"/>
                <wp:wrapTopAndBottom/>
                <wp:docPr id="177" name="Graphic 177"/>
                <wp:cNvGraphicFramePr>
                  <a:graphicFrameLocks/>
                </wp:cNvGraphicFramePr>
                <a:graphic>
                  <a:graphicData uri="http://schemas.microsoft.com/office/word/2010/wordprocessingShape">
                    <wps:wsp>
                      <wps:cNvPr id="177" name="Graphic 177"/>
                      <wps:cNvSpPr/>
                      <wps:spPr>
                        <a:xfrm>
                          <a:off x="0" y="0"/>
                          <a:ext cx="4041775" cy="12700"/>
                        </a:xfrm>
                        <a:custGeom>
                          <a:avLst/>
                          <a:gdLst/>
                          <a:ahLst/>
                          <a:cxnLst/>
                          <a:rect l="l" t="t" r="r" b="b"/>
                          <a:pathLst>
                            <a:path w="4041775" h="12700">
                              <a:moveTo>
                                <a:pt x="4041648" y="0"/>
                              </a:moveTo>
                              <a:lnTo>
                                <a:pt x="1246632" y="0"/>
                              </a:lnTo>
                              <a:lnTo>
                                <a:pt x="1237488" y="0"/>
                              </a:lnTo>
                              <a:lnTo>
                                <a:pt x="0" y="0"/>
                              </a:lnTo>
                              <a:lnTo>
                                <a:pt x="0" y="12192"/>
                              </a:lnTo>
                              <a:lnTo>
                                <a:pt x="1237488" y="12192"/>
                              </a:lnTo>
                              <a:lnTo>
                                <a:pt x="1246632" y="12192"/>
                              </a:lnTo>
                              <a:lnTo>
                                <a:pt x="4041648" y="12192"/>
                              </a:lnTo>
                              <a:lnTo>
                                <a:pt x="4041648"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shape style="position:absolute;margin-left:114.240005pt;margin-top:14.11465pt;width:318.25pt;height:1pt;mso-position-horizontal-relative:page;mso-position-vertical-relative:paragraph;z-index:-15712256;mso-wrap-distance-left:0;mso-wrap-distance-right:0" id="docshape161" coordorigin="2285,282" coordsize="6365,20" path="m8650,282l4248,282,4234,282,2285,282,2285,301,4234,301,4248,301,8650,301,8650,282xe" filled="true" fillcolor="#4e80bc" stroked="false">
                <v:path arrowok="t"/>
                <v:fill type="solid"/>
                <w10:wrap type="topAndBottom"/>
              </v:shape>
            </w:pict>
          </mc:Fallback>
        </mc:AlternateContent>
      </w:r>
    </w:p>
    <w:p>
      <w:pPr>
        <w:tabs>
          <w:tab w:pos="2609" w:val="left" w:leader="none"/>
        </w:tabs>
        <w:spacing w:before="10"/>
        <w:ind w:left="665" w:right="0" w:firstLine="0"/>
        <w:jc w:val="left"/>
        <w:rPr>
          <w:b/>
          <w:sz w:val="22"/>
        </w:rPr>
      </w:pPr>
      <w:r>
        <w:rPr>
          <w:b/>
          <w:sz w:val="22"/>
        </w:rPr>
        <w:t>Duration</w:t>
      </w:r>
      <w:r>
        <w:rPr>
          <w:b/>
          <w:spacing w:val="18"/>
          <w:sz w:val="22"/>
        </w:rPr>
        <w:t> </w:t>
      </w:r>
      <w:r>
        <w:rPr>
          <w:b/>
          <w:spacing w:val="-5"/>
          <w:sz w:val="22"/>
        </w:rPr>
        <w:t>of</w:t>
      </w:r>
      <w:r>
        <w:rPr>
          <w:b/>
          <w:sz w:val="22"/>
        </w:rPr>
        <w:tab/>
        <w:t>Transfer</w:t>
      </w:r>
      <w:r>
        <w:rPr>
          <w:b/>
          <w:spacing w:val="13"/>
          <w:sz w:val="22"/>
        </w:rPr>
        <w:t> </w:t>
      </w:r>
      <w:r>
        <w:rPr>
          <w:b/>
          <w:sz w:val="22"/>
        </w:rPr>
        <w:t>Latency</w:t>
      </w:r>
      <w:r>
        <w:rPr>
          <w:b/>
          <w:spacing w:val="9"/>
          <w:sz w:val="22"/>
        </w:rPr>
        <w:t> </w:t>
      </w:r>
      <w:r>
        <w:rPr>
          <w:b/>
          <w:sz w:val="22"/>
        </w:rPr>
        <w:t>(Mean</w:t>
      </w:r>
      <w:r>
        <w:rPr>
          <w:b/>
          <w:spacing w:val="12"/>
          <w:sz w:val="22"/>
        </w:rPr>
        <w:t> </w:t>
      </w:r>
      <w:r>
        <w:rPr>
          <w:sz w:val="22"/>
        </w:rPr>
        <w:t>±</w:t>
      </w:r>
      <w:r>
        <w:rPr>
          <w:spacing w:val="13"/>
          <w:sz w:val="22"/>
        </w:rPr>
        <w:t> </w:t>
      </w:r>
      <w:r>
        <w:rPr>
          <w:b/>
          <w:sz w:val="22"/>
        </w:rPr>
        <w:t>SEM)</w:t>
      </w:r>
      <w:r>
        <w:rPr>
          <w:b/>
          <w:spacing w:val="9"/>
          <w:sz w:val="22"/>
        </w:rPr>
        <w:t> </w:t>
      </w:r>
      <w:r>
        <w:rPr>
          <w:b/>
          <w:spacing w:val="-2"/>
          <w:sz w:val="22"/>
        </w:rPr>
        <w:t>(Seconds)</w:t>
      </w:r>
    </w:p>
    <w:p>
      <w:pPr>
        <w:pStyle w:val="BodyText"/>
        <w:spacing w:before="37"/>
        <w:rPr>
          <w:b/>
          <w:sz w:val="20"/>
        </w:rPr>
      </w:pPr>
    </w:p>
    <w:tbl>
      <w:tblPr>
        <w:tblW w:w="0" w:type="auto"/>
        <w:jc w:val="left"/>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49"/>
        <w:gridCol w:w="1650"/>
        <w:gridCol w:w="2766"/>
      </w:tblGrid>
      <w:tr>
        <w:trPr>
          <w:trHeight w:val="517" w:hRule="atLeast"/>
        </w:trPr>
        <w:tc>
          <w:tcPr>
            <w:tcW w:w="1949" w:type="dxa"/>
            <w:tcBorders>
              <w:bottom w:val="single" w:sz="8" w:space="0" w:color="4E80BC"/>
            </w:tcBorders>
          </w:tcPr>
          <w:p>
            <w:pPr>
              <w:pStyle w:val="TableParagraph"/>
              <w:spacing w:line="244" w:lineRule="exact"/>
              <w:rPr>
                <w:b/>
                <w:sz w:val="22"/>
              </w:rPr>
            </w:pPr>
            <w:r>
              <w:rPr>
                <w:b/>
                <w:spacing w:val="-2"/>
                <w:sz w:val="22"/>
              </w:rPr>
              <w:t>exposure</w:t>
            </w:r>
          </w:p>
        </w:tc>
        <w:tc>
          <w:tcPr>
            <w:tcW w:w="1650" w:type="dxa"/>
            <w:tcBorders>
              <w:top w:val="single" w:sz="6" w:space="0" w:color="4E80BC"/>
              <w:bottom w:val="single" w:sz="8" w:space="0" w:color="4E80BC"/>
            </w:tcBorders>
          </w:tcPr>
          <w:p>
            <w:pPr>
              <w:pStyle w:val="TableParagraph"/>
              <w:spacing w:before="10"/>
              <w:ind w:left="95"/>
              <w:rPr>
                <w:b/>
                <w:sz w:val="22"/>
              </w:rPr>
            </w:pPr>
            <w:r>
              <w:rPr>
                <w:b/>
                <w:sz w:val="22"/>
              </w:rPr>
              <w:t>Day-</w:t>
            </w:r>
            <w:r>
              <w:rPr>
                <w:b/>
                <w:spacing w:val="8"/>
                <w:sz w:val="22"/>
              </w:rPr>
              <w:t> </w:t>
            </w:r>
            <w:r>
              <w:rPr>
                <w:b/>
                <w:spacing w:val="-10"/>
                <w:sz w:val="22"/>
              </w:rPr>
              <w:t>1</w:t>
            </w:r>
          </w:p>
        </w:tc>
        <w:tc>
          <w:tcPr>
            <w:tcW w:w="2766" w:type="dxa"/>
            <w:tcBorders>
              <w:top w:val="single" w:sz="6" w:space="0" w:color="4E80BC"/>
              <w:bottom w:val="single" w:sz="8" w:space="0" w:color="4E80BC"/>
            </w:tcBorders>
          </w:tcPr>
          <w:p>
            <w:pPr>
              <w:pStyle w:val="TableParagraph"/>
              <w:spacing w:before="10"/>
              <w:ind w:left="639"/>
              <w:rPr>
                <w:b/>
                <w:sz w:val="22"/>
              </w:rPr>
            </w:pPr>
            <w:r>
              <w:rPr>
                <w:b/>
                <w:sz w:val="22"/>
              </w:rPr>
              <w:t>Day-</w:t>
            </w:r>
            <w:r>
              <w:rPr>
                <w:b/>
                <w:spacing w:val="8"/>
                <w:sz w:val="22"/>
              </w:rPr>
              <w:t> </w:t>
            </w:r>
            <w:r>
              <w:rPr>
                <w:b/>
                <w:spacing w:val="-10"/>
                <w:sz w:val="22"/>
              </w:rPr>
              <w:t>2</w:t>
            </w:r>
          </w:p>
        </w:tc>
      </w:tr>
      <w:tr>
        <w:trPr>
          <w:trHeight w:val="393" w:hRule="atLeast"/>
        </w:trPr>
        <w:tc>
          <w:tcPr>
            <w:tcW w:w="1949" w:type="dxa"/>
            <w:tcBorders>
              <w:top w:val="single" w:sz="8" w:space="0" w:color="4E80BC"/>
            </w:tcBorders>
          </w:tcPr>
          <w:p>
            <w:pPr>
              <w:pStyle w:val="TableParagraph"/>
              <w:spacing w:before="5"/>
              <w:rPr>
                <w:b/>
                <w:sz w:val="22"/>
              </w:rPr>
            </w:pPr>
            <w:r>
              <w:rPr>
                <w:b/>
                <w:sz w:val="22"/>
              </w:rPr>
              <w:t>30</w:t>
            </w:r>
            <w:r>
              <w:rPr>
                <w:b/>
                <w:spacing w:val="6"/>
                <w:sz w:val="22"/>
              </w:rPr>
              <w:t> </w:t>
            </w:r>
            <w:r>
              <w:rPr>
                <w:b/>
                <w:spacing w:val="-2"/>
                <w:sz w:val="22"/>
              </w:rPr>
              <w:t>minutes</w:t>
            </w:r>
          </w:p>
        </w:tc>
        <w:tc>
          <w:tcPr>
            <w:tcW w:w="1650" w:type="dxa"/>
            <w:tcBorders>
              <w:top w:val="single" w:sz="8" w:space="0" w:color="4E80BC"/>
            </w:tcBorders>
          </w:tcPr>
          <w:p>
            <w:pPr>
              <w:pStyle w:val="TableParagraph"/>
              <w:ind w:left="95"/>
              <w:rPr>
                <w:sz w:val="22"/>
              </w:rPr>
            </w:pPr>
            <w:r>
              <w:rPr>
                <w:sz w:val="22"/>
              </w:rPr>
              <w:t>13.4</w:t>
            </w:r>
            <w:r>
              <w:rPr>
                <w:spacing w:val="4"/>
                <w:sz w:val="22"/>
              </w:rPr>
              <w:t> </w:t>
            </w:r>
            <w:r>
              <w:rPr>
                <w:sz w:val="22"/>
              </w:rPr>
              <w:t>±</w:t>
            </w:r>
            <w:r>
              <w:rPr>
                <w:spacing w:val="9"/>
                <w:sz w:val="22"/>
              </w:rPr>
              <w:t> </w:t>
            </w:r>
            <w:r>
              <w:rPr>
                <w:spacing w:val="-5"/>
                <w:sz w:val="22"/>
              </w:rPr>
              <w:t>1.5</w:t>
            </w:r>
          </w:p>
        </w:tc>
        <w:tc>
          <w:tcPr>
            <w:tcW w:w="2766" w:type="dxa"/>
            <w:tcBorders>
              <w:top w:val="single" w:sz="8" w:space="0" w:color="4E80BC"/>
            </w:tcBorders>
          </w:tcPr>
          <w:p>
            <w:pPr>
              <w:pStyle w:val="TableParagraph"/>
              <w:ind w:left="639"/>
              <w:rPr>
                <w:sz w:val="22"/>
              </w:rPr>
            </w:pPr>
            <w:r>
              <w:rPr>
                <w:sz w:val="22"/>
              </w:rPr>
              <w:t>48.4</w:t>
            </w:r>
            <w:r>
              <w:rPr>
                <w:spacing w:val="7"/>
                <w:sz w:val="22"/>
              </w:rPr>
              <w:t> </w:t>
            </w:r>
            <w:r>
              <w:rPr>
                <w:sz w:val="22"/>
              </w:rPr>
              <w:t>±</w:t>
            </w:r>
            <w:r>
              <w:rPr>
                <w:spacing w:val="6"/>
                <w:sz w:val="22"/>
              </w:rPr>
              <w:t> </w:t>
            </w:r>
            <w:r>
              <w:rPr>
                <w:spacing w:val="-4"/>
                <w:sz w:val="22"/>
              </w:rPr>
              <w:t>12.8</w:t>
            </w:r>
          </w:p>
        </w:tc>
      </w:tr>
      <w:tr>
        <w:trPr>
          <w:trHeight w:val="520" w:hRule="atLeast"/>
        </w:trPr>
        <w:tc>
          <w:tcPr>
            <w:tcW w:w="1949" w:type="dxa"/>
          </w:tcPr>
          <w:p>
            <w:pPr>
              <w:pStyle w:val="TableParagraph"/>
              <w:spacing w:before="134"/>
              <w:rPr>
                <w:b/>
                <w:sz w:val="22"/>
              </w:rPr>
            </w:pPr>
            <w:r>
              <w:rPr>
                <w:b/>
                <w:sz w:val="22"/>
              </w:rPr>
              <w:t>1</w:t>
            </w:r>
            <w:r>
              <w:rPr>
                <w:b/>
                <w:spacing w:val="6"/>
                <w:sz w:val="22"/>
              </w:rPr>
              <w:t> </w:t>
            </w:r>
            <w:r>
              <w:rPr>
                <w:b/>
                <w:spacing w:val="-4"/>
                <w:sz w:val="22"/>
              </w:rPr>
              <w:t>hour</w:t>
            </w:r>
          </w:p>
        </w:tc>
        <w:tc>
          <w:tcPr>
            <w:tcW w:w="1650" w:type="dxa"/>
          </w:tcPr>
          <w:p>
            <w:pPr>
              <w:pStyle w:val="TableParagraph"/>
              <w:spacing w:before="130"/>
              <w:ind w:left="95"/>
              <w:rPr>
                <w:sz w:val="22"/>
              </w:rPr>
            </w:pPr>
            <w:r>
              <w:rPr>
                <w:sz w:val="22"/>
              </w:rPr>
              <w:t>73</w:t>
            </w:r>
            <w:r>
              <w:rPr>
                <w:spacing w:val="9"/>
                <w:sz w:val="22"/>
              </w:rPr>
              <w:t> </w:t>
            </w:r>
            <w:r>
              <w:rPr>
                <w:sz w:val="22"/>
              </w:rPr>
              <w:t>±</w:t>
            </w:r>
            <w:r>
              <w:rPr>
                <w:spacing w:val="-2"/>
                <w:sz w:val="22"/>
              </w:rPr>
              <w:t> </w:t>
            </w:r>
            <w:r>
              <w:rPr>
                <w:spacing w:val="-5"/>
                <w:sz w:val="22"/>
              </w:rPr>
              <w:t>8.4</w:t>
            </w:r>
          </w:p>
        </w:tc>
        <w:tc>
          <w:tcPr>
            <w:tcW w:w="2766" w:type="dxa"/>
          </w:tcPr>
          <w:p>
            <w:pPr>
              <w:pStyle w:val="TableParagraph"/>
              <w:spacing w:before="130"/>
              <w:ind w:left="639"/>
              <w:rPr>
                <w:sz w:val="22"/>
              </w:rPr>
            </w:pPr>
            <w:r>
              <w:rPr>
                <w:sz w:val="22"/>
              </w:rPr>
              <w:t>51.6</w:t>
            </w:r>
            <w:r>
              <w:rPr>
                <w:spacing w:val="7"/>
                <w:sz w:val="22"/>
              </w:rPr>
              <w:t> </w:t>
            </w:r>
            <w:r>
              <w:rPr>
                <w:sz w:val="22"/>
              </w:rPr>
              <w:t>±</w:t>
            </w:r>
            <w:r>
              <w:rPr>
                <w:spacing w:val="6"/>
                <w:sz w:val="22"/>
              </w:rPr>
              <w:t> </w:t>
            </w:r>
            <w:r>
              <w:rPr>
                <w:spacing w:val="-4"/>
                <w:sz w:val="22"/>
              </w:rPr>
              <w:t>16.5</w:t>
            </w:r>
          </w:p>
        </w:tc>
      </w:tr>
      <w:tr>
        <w:trPr>
          <w:trHeight w:val="386" w:hRule="atLeast"/>
        </w:trPr>
        <w:tc>
          <w:tcPr>
            <w:tcW w:w="1949" w:type="dxa"/>
          </w:tcPr>
          <w:p>
            <w:pPr>
              <w:pStyle w:val="TableParagraph"/>
              <w:spacing w:line="234" w:lineRule="exact" w:before="132"/>
              <w:rPr>
                <w:b/>
                <w:sz w:val="22"/>
              </w:rPr>
            </w:pPr>
            <w:r>
              <w:rPr>
                <w:b/>
                <w:sz w:val="22"/>
              </w:rPr>
              <w:t>2</w:t>
            </w:r>
            <w:r>
              <w:rPr>
                <w:b/>
                <w:spacing w:val="6"/>
                <w:sz w:val="22"/>
              </w:rPr>
              <w:t> </w:t>
            </w:r>
            <w:r>
              <w:rPr>
                <w:b/>
                <w:spacing w:val="-2"/>
                <w:sz w:val="22"/>
              </w:rPr>
              <w:t>hours</w:t>
            </w:r>
          </w:p>
        </w:tc>
        <w:tc>
          <w:tcPr>
            <w:tcW w:w="1650" w:type="dxa"/>
          </w:tcPr>
          <w:p>
            <w:pPr>
              <w:pStyle w:val="TableParagraph"/>
              <w:spacing w:line="239" w:lineRule="exact" w:before="127"/>
              <w:ind w:left="95"/>
              <w:rPr>
                <w:sz w:val="22"/>
              </w:rPr>
            </w:pPr>
            <w:r>
              <w:rPr>
                <w:sz w:val="22"/>
              </w:rPr>
              <w:t>54</w:t>
            </w:r>
            <w:r>
              <w:rPr>
                <w:spacing w:val="9"/>
                <w:sz w:val="22"/>
              </w:rPr>
              <w:t> </w:t>
            </w:r>
            <w:r>
              <w:rPr>
                <w:sz w:val="22"/>
              </w:rPr>
              <w:t>±</w:t>
            </w:r>
            <w:r>
              <w:rPr>
                <w:spacing w:val="-2"/>
                <w:sz w:val="22"/>
              </w:rPr>
              <w:t> </w:t>
            </w:r>
            <w:r>
              <w:rPr>
                <w:spacing w:val="-4"/>
                <w:sz w:val="22"/>
              </w:rPr>
              <w:t>15.1</w:t>
            </w:r>
          </w:p>
        </w:tc>
        <w:tc>
          <w:tcPr>
            <w:tcW w:w="2766" w:type="dxa"/>
          </w:tcPr>
          <w:p>
            <w:pPr>
              <w:pStyle w:val="TableParagraph"/>
              <w:spacing w:line="239" w:lineRule="exact" w:before="127"/>
              <w:ind w:left="639"/>
              <w:rPr>
                <w:sz w:val="22"/>
              </w:rPr>
            </w:pPr>
            <w:r>
              <w:rPr>
                <w:sz w:val="22"/>
              </w:rPr>
              <w:t>66.8</w:t>
            </w:r>
            <w:r>
              <w:rPr>
                <w:spacing w:val="7"/>
                <w:sz w:val="22"/>
              </w:rPr>
              <w:t> </w:t>
            </w:r>
            <w:r>
              <w:rPr>
                <w:sz w:val="22"/>
              </w:rPr>
              <w:t>±</w:t>
            </w:r>
            <w:r>
              <w:rPr>
                <w:spacing w:val="6"/>
                <w:sz w:val="22"/>
              </w:rPr>
              <w:t> </w:t>
            </w:r>
            <w:r>
              <w:rPr>
                <w:spacing w:val="-4"/>
                <w:sz w:val="22"/>
              </w:rPr>
              <w:t>15.3</w:t>
            </w:r>
          </w:p>
        </w:tc>
      </w:tr>
    </w:tbl>
    <w:p>
      <w:pPr>
        <w:pStyle w:val="BodyText"/>
        <w:spacing w:before="11"/>
        <w:rPr>
          <w:b/>
          <w:sz w:val="19"/>
        </w:rPr>
      </w:pPr>
      <w:r>
        <w:rPr/>
        <mc:AlternateContent>
          <mc:Choice Requires="wps">
            <w:drawing>
              <wp:anchor distT="0" distB="0" distL="0" distR="0" allowOverlap="1" layoutInCell="1" locked="0" behindDoc="1" simplePos="0" relativeHeight="487604736">
                <wp:simplePos x="0" y="0"/>
                <wp:positionH relativeFrom="page">
                  <wp:posOffset>1441704</wp:posOffset>
                </wp:positionH>
                <wp:positionV relativeFrom="paragraph">
                  <wp:posOffset>160960</wp:posOffset>
                </wp:positionV>
                <wp:extent cx="4051300" cy="9525"/>
                <wp:effectExtent l="0" t="0" r="0" b="0"/>
                <wp:wrapTopAndBottom/>
                <wp:docPr id="178" name="Graphic 178"/>
                <wp:cNvGraphicFramePr>
                  <a:graphicFrameLocks/>
                </wp:cNvGraphicFramePr>
                <a:graphic>
                  <a:graphicData uri="http://schemas.microsoft.com/office/word/2010/wordprocessingShape">
                    <wps:wsp>
                      <wps:cNvPr id="178" name="Graphic 178"/>
                      <wps:cNvSpPr/>
                      <wps:spPr>
                        <a:xfrm>
                          <a:off x="0" y="0"/>
                          <a:ext cx="4051300" cy="9525"/>
                        </a:xfrm>
                        <a:custGeom>
                          <a:avLst/>
                          <a:gdLst/>
                          <a:ahLst/>
                          <a:cxnLst/>
                          <a:rect l="l" t="t" r="r" b="b"/>
                          <a:pathLst>
                            <a:path w="4051300" h="9525">
                              <a:moveTo>
                                <a:pt x="4050792" y="0"/>
                              </a:moveTo>
                              <a:lnTo>
                                <a:pt x="4050792" y="0"/>
                              </a:lnTo>
                              <a:lnTo>
                                <a:pt x="0" y="0"/>
                              </a:lnTo>
                              <a:lnTo>
                                <a:pt x="0" y="9144"/>
                              </a:lnTo>
                              <a:lnTo>
                                <a:pt x="4050792" y="9144"/>
                              </a:lnTo>
                              <a:lnTo>
                                <a:pt x="4050792"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rect style="position:absolute;margin-left:113.520004pt;margin-top:12.67405pt;width:318.960015pt;height:.72pt;mso-position-horizontal-relative:page;mso-position-vertical-relative:paragraph;z-index:-15711744;mso-wrap-distance-left:0;mso-wrap-distance-right:0" id="docshape162" filled="true" fillcolor="#4e80bc" stroked="false">
                <v:fill type="solid"/>
                <w10:wrap type="topAndBottom"/>
              </v:rect>
            </w:pict>
          </mc:Fallback>
        </mc:AlternateContent>
      </w:r>
    </w:p>
    <w:p>
      <w:pPr>
        <w:spacing w:after="0"/>
        <w:rPr>
          <w:sz w:val="19"/>
        </w:rPr>
        <w:sectPr>
          <w:pgSz w:w="12240" w:h="15840"/>
          <w:pgMar w:header="0" w:footer="916" w:top="1260" w:bottom="1100" w:left="1720" w:right="960"/>
        </w:sectPr>
      </w:pPr>
    </w:p>
    <w:p>
      <w:pPr>
        <w:pStyle w:val="Heading2"/>
        <w:ind w:right="246"/>
        <w:jc w:val="center"/>
      </w:pPr>
      <w:r>
        <w:rPr/>
        <w:t>APPENDIX</w:t>
      </w:r>
      <w:r>
        <w:rPr>
          <w:spacing w:val="18"/>
        </w:rPr>
        <w:t> </w:t>
      </w:r>
      <w:r>
        <w:rPr>
          <w:spacing w:val="-5"/>
        </w:rPr>
        <w:t>V:</w:t>
      </w:r>
    </w:p>
    <w:p>
      <w:pPr>
        <w:pStyle w:val="BodyText"/>
        <w:rPr>
          <w:b/>
        </w:rPr>
      </w:pPr>
    </w:p>
    <w:p>
      <w:pPr>
        <w:pStyle w:val="BodyText"/>
        <w:rPr>
          <w:b/>
        </w:rPr>
      </w:pPr>
    </w:p>
    <w:p>
      <w:pPr>
        <w:pStyle w:val="BodyText"/>
        <w:spacing w:before="25"/>
        <w:rPr>
          <w:b/>
        </w:rPr>
      </w:pPr>
    </w:p>
    <w:p>
      <w:pPr>
        <w:spacing w:before="0"/>
        <w:ind w:left="665" w:right="0" w:firstLine="0"/>
        <w:jc w:val="left"/>
        <w:rPr>
          <w:b/>
          <w:sz w:val="22"/>
        </w:rPr>
      </w:pPr>
      <w:r>
        <w:rPr>
          <w:b/>
          <w:sz w:val="22"/>
        </w:rPr>
        <w:t>Table</w:t>
      </w:r>
      <w:r>
        <w:rPr>
          <w:b/>
          <w:spacing w:val="6"/>
          <w:sz w:val="22"/>
        </w:rPr>
        <w:t> </w:t>
      </w:r>
      <w:r>
        <w:rPr>
          <w:b/>
          <w:sz w:val="22"/>
        </w:rPr>
        <w:t>4.8:</w:t>
      </w:r>
      <w:r>
        <w:rPr>
          <w:b/>
          <w:spacing w:val="14"/>
          <w:sz w:val="22"/>
        </w:rPr>
        <w:t> </w:t>
      </w:r>
      <w:r>
        <w:rPr>
          <w:b/>
          <w:sz w:val="22"/>
        </w:rPr>
        <w:t>Mean</w:t>
      </w:r>
      <w:r>
        <w:rPr>
          <w:b/>
          <w:spacing w:val="6"/>
          <w:sz w:val="22"/>
        </w:rPr>
        <w:t> </w:t>
      </w:r>
      <w:r>
        <w:rPr>
          <w:b/>
          <w:sz w:val="22"/>
        </w:rPr>
        <w:t>transfer</w:t>
      </w:r>
      <w:r>
        <w:rPr>
          <w:b/>
          <w:spacing w:val="13"/>
          <w:sz w:val="22"/>
        </w:rPr>
        <w:t> </w:t>
      </w:r>
      <w:r>
        <w:rPr>
          <w:b/>
          <w:sz w:val="22"/>
        </w:rPr>
        <w:t>latencies</w:t>
      </w:r>
      <w:r>
        <w:rPr>
          <w:b/>
          <w:spacing w:val="10"/>
          <w:sz w:val="22"/>
        </w:rPr>
        <w:t> </w:t>
      </w:r>
      <w:r>
        <w:rPr>
          <w:b/>
          <w:sz w:val="22"/>
        </w:rPr>
        <w:t>to</w:t>
      </w:r>
      <w:r>
        <w:rPr>
          <w:b/>
          <w:spacing w:val="14"/>
          <w:sz w:val="22"/>
        </w:rPr>
        <w:t> </w:t>
      </w:r>
      <w:r>
        <w:rPr>
          <w:b/>
          <w:sz w:val="22"/>
        </w:rPr>
        <w:t>cross</w:t>
      </w:r>
      <w:r>
        <w:rPr>
          <w:b/>
          <w:spacing w:val="10"/>
          <w:sz w:val="22"/>
        </w:rPr>
        <w:t> </w:t>
      </w:r>
      <w:r>
        <w:rPr>
          <w:b/>
          <w:sz w:val="22"/>
        </w:rPr>
        <w:t>the</w:t>
      </w:r>
      <w:r>
        <w:rPr>
          <w:b/>
          <w:spacing w:val="7"/>
          <w:sz w:val="22"/>
        </w:rPr>
        <w:t> </w:t>
      </w:r>
      <w:r>
        <w:rPr>
          <w:b/>
          <w:sz w:val="22"/>
        </w:rPr>
        <w:t>beam</w:t>
      </w:r>
      <w:r>
        <w:rPr>
          <w:b/>
          <w:spacing w:val="12"/>
          <w:sz w:val="22"/>
        </w:rPr>
        <w:t> </w:t>
      </w:r>
      <w:r>
        <w:rPr>
          <w:b/>
          <w:spacing w:val="-2"/>
          <w:sz w:val="22"/>
        </w:rPr>
        <w:t>walk.</w:t>
      </w:r>
    </w:p>
    <w:p>
      <w:pPr>
        <w:pStyle w:val="BodyText"/>
        <w:rPr>
          <w:b/>
          <w:sz w:val="20"/>
        </w:rPr>
      </w:pPr>
    </w:p>
    <w:p>
      <w:pPr>
        <w:pStyle w:val="BodyText"/>
        <w:rPr>
          <w:b/>
          <w:sz w:val="20"/>
        </w:rPr>
      </w:pPr>
    </w:p>
    <w:p>
      <w:pPr>
        <w:pStyle w:val="BodyText"/>
        <w:spacing w:before="95"/>
        <w:rPr>
          <w:b/>
          <w:sz w:val="20"/>
        </w:rPr>
      </w:pPr>
    </w:p>
    <w:tbl>
      <w:tblPr>
        <w:tblW w:w="0" w:type="auto"/>
        <w:jc w:val="left"/>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69"/>
        <w:gridCol w:w="1997"/>
        <w:gridCol w:w="2719"/>
        <w:gridCol w:w="1784"/>
      </w:tblGrid>
      <w:tr>
        <w:trPr>
          <w:trHeight w:val="522" w:hRule="atLeast"/>
        </w:trPr>
        <w:tc>
          <w:tcPr>
            <w:tcW w:w="1469" w:type="dxa"/>
            <w:tcBorders>
              <w:top w:val="single" w:sz="6" w:space="0" w:color="4E80BC"/>
            </w:tcBorders>
          </w:tcPr>
          <w:p>
            <w:pPr>
              <w:pStyle w:val="TableParagraph"/>
              <w:spacing w:before="15"/>
              <w:rPr>
                <w:b/>
                <w:sz w:val="22"/>
              </w:rPr>
            </w:pPr>
            <w:r>
              <w:rPr>
                <w:b/>
                <w:spacing w:val="-2"/>
                <w:sz w:val="22"/>
              </w:rPr>
              <w:t>Groups</w:t>
            </w:r>
          </w:p>
        </w:tc>
        <w:tc>
          <w:tcPr>
            <w:tcW w:w="1997" w:type="dxa"/>
            <w:tcBorders>
              <w:top w:val="single" w:sz="6" w:space="0" w:color="4E80BC"/>
            </w:tcBorders>
          </w:tcPr>
          <w:p>
            <w:pPr>
              <w:pStyle w:val="TableParagraph"/>
              <w:spacing w:before="15"/>
              <w:ind w:left="153"/>
              <w:rPr>
                <w:b/>
                <w:sz w:val="22"/>
              </w:rPr>
            </w:pPr>
            <w:r>
              <w:rPr>
                <w:b/>
                <w:spacing w:val="-2"/>
                <w:sz w:val="22"/>
              </w:rPr>
              <w:t>Treatment</w:t>
            </w:r>
          </w:p>
        </w:tc>
        <w:tc>
          <w:tcPr>
            <w:tcW w:w="2719" w:type="dxa"/>
            <w:tcBorders>
              <w:top w:val="single" w:sz="6" w:space="0" w:color="4E80BC"/>
              <w:bottom w:val="single" w:sz="8" w:space="0" w:color="4E80BC"/>
            </w:tcBorders>
          </w:tcPr>
          <w:p>
            <w:pPr>
              <w:pStyle w:val="TableParagraph"/>
              <w:spacing w:before="15"/>
              <w:rPr>
                <w:b/>
                <w:sz w:val="22"/>
              </w:rPr>
            </w:pPr>
            <w:r>
              <w:rPr>
                <w:b/>
                <w:sz w:val="22"/>
              </w:rPr>
              <w:t>Transfer</w:t>
            </w:r>
            <w:r>
              <w:rPr>
                <w:b/>
                <w:spacing w:val="11"/>
                <w:sz w:val="22"/>
              </w:rPr>
              <w:t> </w:t>
            </w:r>
            <w:r>
              <w:rPr>
                <w:b/>
                <w:sz w:val="22"/>
              </w:rPr>
              <w:t>Latency</w:t>
            </w:r>
            <w:r>
              <w:rPr>
                <w:b/>
                <w:spacing w:val="76"/>
                <w:sz w:val="22"/>
              </w:rPr>
              <w:t> </w:t>
            </w:r>
            <w:r>
              <w:rPr>
                <w:b/>
                <w:sz w:val="22"/>
              </w:rPr>
              <w:t>(Mean</w:t>
            </w:r>
            <w:r>
              <w:rPr>
                <w:b/>
                <w:spacing w:val="10"/>
                <w:sz w:val="22"/>
              </w:rPr>
              <w:t> </w:t>
            </w:r>
            <w:r>
              <w:rPr>
                <w:b/>
                <w:spacing w:val="-10"/>
                <w:sz w:val="22"/>
              </w:rPr>
              <w:t>±</w:t>
            </w:r>
          </w:p>
        </w:tc>
        <w:tc>
          <w:tcPr>
            <w:tcW w:w="1784" w:type="dxa"/>
            <w:tcBorders>
              <w:top w:val="single" w:sz="6" w:space="0" w:color="4E80BC"/>
              <w:bottom w:val="single" w:sz="8" w:space="0" w:color="4E80BC"/>
            </w:tcBorders>
          </w:tcPr>
          <w:p>
            <w:pPr>
              <w:pStyle w:val="TableParagraph"/>
              <w:spacing w:before="15"/>
              <w:ind w:left="50"/>
              <w:rPr>
                <w:b/>
                <w:sz w:val="22"/>
              </w:rPr>
            </w:pPr>
            <w:r>
              <w:rPr>
                <w:b/>
                <w:sz w:val="22"/>
              </w:rPr>
              <w:t>SEM)</w:t>
            </w:r>
            <w:r>
              <w:rPr>
                <w:b/>
                <w:spacing w:val="5"/>
                <w:sz w:val="22"/>
              </w:rPr>
              <w:t> </w:t>
            </w:r>
            <w:r>
              <w:rPr>
                <w:b/>
                <w:spacing w:val="-2"/>
                <w:sz w:val="22"/>
              </w:rPr>
              <w:t>(Seconds)</w:t>
            </w:r>
          </w:p>
        </w:tc>
      </w:tr>
      <w:tr>
        <w:trPr>
          <w:trHeight w:val="517" w:hRule="atLeast"/>
        </w:trPr>
        <w:tc>
          <w:tcPr>
            <w:tcW w:w="1469" w:type="dxa"/>
            <w:tcBorders>
              <w:bottom w:val="single" w:sz="8" w:space="0" w:color="4E80BC"/>
            </w:tcBorders>
          </w:tcPr>
          <w:p>
            <w:pPr>
              <w:pStyle w:val="TableParagraph"/>
              <w:ind w:left="0"/>
              <w:rPr>
                <w:sz w:val="22"/>
              </w:rPr>
            </w:pPr>
          </w:p>
        </w:tc>
        <w:tc>
          <w:tcPr>
            <w:tcW w:w="1997" w:type="dxa"/>
            <w:tcBorders>
              <w:bottom w:val="single" w:sz="8" w:space="0" w:color="4E80BC"/>
            </w:tcBorders>
          </w:tcPr>
          <w:p>
            <w:pPr>
              <w:pStyle w:val="TableParagraph"/>
              <w:ind w:left="0"/>
              <w:rPr>
                <w:sz w:val="22"/>
              </w:rPr>
            </w:pPr>
          </w:p>
        </w:tc>
        <w:tc>
          <w:tcPr>
            <w:tcW w:w="2719" w:type="dxa"/>
            <w:tcBorders>
              <w:top w:val="single" w:sz="8" w:space="0" w:color="4E80BC"/>
              <w:bottom w:val="single" w:sz="8" w:space="0" w:color="4E80BC"/>
            </w:tcBorders>
          </w:tcPr>
          <w:p>
            <w:pPr>
              <w:pStyle w:val="TableParagraph"/>
              <w:tabs>
                <w:tab w:pos="1415" w:val="left" w:leader="none"/>
              </w:tabs>
              <w:spacing w:before="5"/>
              <w:rPr>
                <w:b/>
                <w:sz w:val="22"/>
              </w:rPr>
            </w:pPr>
            <w:r>
              <w:rPr>
                <w:b/>
                <w:sz w:val="22"/>
              </w:rPr>
              <w:t>30</w:t>
            </w:r>
            <w:r>
              <w:rPr>
                <w:b/>
                <w:spacing w:val="6"/>
                <w:sz w:val="22"/>
              </w:rPr>
              <w:t> </w:t>
            </w:r>
            <w:r>
              <w:rPr>
                <w:b/>
                <w:spacing w:val="-2"/>
                <w:sz w:val="22"/>
              </w:rPr>
              <w:t>minutes</w:t>
            </w:r>
            <w:r>
              <w:rPr>
                <w:b/>
                <w:sz w:val="22"/>
              </w:rPr>
              <w:tab/>
              <w:t>1</w:t>
            </w:r>
            <w:r>
              <w:rPr>
                <w:b/>
                <w:spacing w:val="2"/>
                <w:sz w:val="22"/>
              </w:rPr>
              <w:t> </w:t>
            </w:r>
            <w:r>
              <w:rPr>
                <w:b/>
                <w:spacing w:val="-4"/>
                <w:sz w:val="22"/>
              </w:rPr>
              <w:t>Hour</w:t>
            </w:r>
          </w:p>
        </w:tc>
        <w:tc>
          <w:tcPr>
            <w:tcW w:w="1784" w:type="dxa"/>
            <w:tcBorders>
              <w:top w:val="single" w:sz="8" w:space="0" w:color="4E80BC"/>
              <w:bottom w:val="single" w:sz="8" w:space="0" w:color="4E80BC"/>
            </w:tcBorders>
          </w:tcPr>
          <w:p>
            <w:pPr>
              <w:pStyle w:val="TableParagraph"/>
              <w:spacing w:before="5"/>
              <w:ind w:left="11"/>
              <w:rPr>
                <w:b/>
                <w:sz w:val="22"/>
              </w:rPr>
            </w:pPr>
            <w:r>
              <w:rPr>
                <w:b/>
                <w:sz w:val="22"/>
              </w:rPr>
              <w:t>2</w:t>
            </w:r>
            <w:r>
              <w:rPr>
                <w:b/>
                <w:spacing w:val="6"/>
                <w:sz w:val="22"/>
              </w:rPr>
              <w:t> </w:t>
            </w:r>
            <w:r>
              <w:rPr>
                <w:b/>
                <w:spacing w:val="-2"/>
                <w:sz w:val="22"/>
              </w:rPr>
              <w:t>Hours</w:t>
            </w:r>
          </w:p>
        </w:tc>
      </w:tr>
      <w:tr>
        <w:trPr>
          <w:trHeight w:val="389" w:hRule="atLeast"/>
        </w:trPr>
        <w:tc>
          <w:tcPr>
            <w:tcW w:w="1469" w:type="dxa"/>
            <w:tcBorders>
              <w:top w:val="single" w:sz="8" w:space="0" w:color="4E80BC"/>
            </w:tcBorders>
          </w:tcPr>
          <w:p>
            <w:pPr>
              <w:pStyle w:val="TableParagraph"/>
              <w:rPr>
                <w:sz w:val="22"/>
              </w:rPr>
            </w:pPr>
            <w:r>
              <w:rPr>
                <w:spacing w:val="-2"/>
                <w:sz w:val="22"/>
              </w:rPr>
              <w:t>Control</w:t>
            </w:r>
          </w:p>
        </w:tc>
        <w:tc>
          <w:tcPr>
            <w:tcW w:w="1997" w:type="dxa"/>
            <w:tcBorders>
              <w:top w:val="single" w:sz="8" w:space="0" w:color="4E80BC"/>
            </w:tcBorders>
          </w:tcPr>
          <w:p>
            <w:pPr>
              <w:pStyle w:val="TableParagraph"/>
              <w:ind w:left="153"/>
              <w:rPr>
                <w:sz w:val="22"/>
              </w:rPr>
            </w:pPr>
            <w:r>
              <w:rPr>
                <w:sz w:val="22"/>
              </w:rPr>
              <w:t>Room</w:t>
            </w:r>
            <w:r>
              <w:rPr>
                <w:spacing w:val="16"/>
                <w:sz w:val="22"/>
              </w:rPr>
              <w:t> </w:t>
            </w:r>
            <w:r>
              <w:rPr>
                <w:spacing w:val="-5"/>
                <w:sz w:val="22"/>
              </w:rPr>
              <w:t>air</w:t>
            </w:r>
          </w:p>
        </w:tc>
        <w:tc>
          <w:tcPr>
            <w:tcW w:w="2719" w:type="dxa"/>
            <w:tcBorders>
              <w:top w:val="single" w:sz="8" w:space="0" w:color="4E80BC"/>
            </w:tcBorders>
          </w:tcPr>
          <w:p>
            <w:pPr>
              <w:pStyle w:val="TableParagraph"/>
              <w:tabs>
                <w:tab w:pos="1415" w:val="left" w:leader="none"/>
              </w:tabs>
              <w:rPr>
                <w:sz w:val="22"/>
              </w:rPr>
            </w:pPr>
            <w:r>
              <w:rPr>
                <w:sz w:val="22"/>
              </w:rPr>
              <w:t>8</w:t>
            </w:r>
            <w:r>
              <w:rPr>
                <w:spacing w:val="7"/>
                <w:sz w:val="22"/>
              </w:rPr>
              <w:t> </w:t>
            </w:r>
            <w:r>
              <w:rPr>
                <w:sz w:val="22"/>
              </w:rPr>
              <w:t>±</w:t>
            </w:r>
            <w:r>
              <w:rPr>
                <w:spacing w:val="-4"/>
                <w:sz w:val="22"/>
              </w:rPr>
              <w:t> </w:t>
            </w:r>
            <w:r>
              <w:rPr>
                <w:spacing w:val="-5"/>
                <w:sz w:val="22"/>
              </w:rPr>
              <w:t>0.9</w:t>
            </w:r>
            <w:r>
              <w:rPr>
                <w:sz w:val="22"/>
              </w:rPr>
              <w:tab/>
              <w:t>15.4</w:t>
            </w:r>
            <w:r>
              <w:rPr>
                <w:spacing w:val="7"/>
                <w:sz w:val="22"/>
              </w:rPr>
              <w:t> </w:t>
            </w:r>
            <w:r>
              <w:rPr>
                <w:sz w:val="22"/>
              </w:rPr>
              <w:t>±</w:t>
            </w:r>
            <w:r>
              <w:rPr>
                <w:spacing w:val="2"/>
                <w:sz w:val="22"/>
              </w:rPr>
              <w:t> </w:t>
            </w:r>
            <w:r>
              <w:rPr>
                <w:spacing w:val="-5"/>
                <w:sz w:val="22"/>
              </w:rPr>
              <w:t>2.7</w:t>
            </w:r>
          </w:p>
        </w:tc>
        <w:tc>
          <w:tcPr>
            <w:tcW w:w="1784" w:type="dxa"/>
            <w:tcBorders>
              <w:top w:val="single" w:sz="8" w:space="0" w:color="4E80BC"/>
            </w:tcBorders>
          </w:tcPr>
          <w:p>
            <w:pPr>
              <w:pStyle w:val="TableParagraph"/>
              <w:ind w:left="11"/>
              <w:rPr>
                <w:sz w:val="22"/>
              </w:rPr>
            </w:pPr>
            <w:r>
              <w:rPr>
                <w:sz w:val="22"/>
              </w:rPr>
              <w:t>10</w:t>
            </w:r>
            <w:r>
              <w:rPr>
                <w:spacing w:val="4"/>
                <w:sz w:val="22"/>
              </w:rPr>
              <w:t> </w:t>
            </w:r>
            <w:r>
              <w:rPr>
                <w:sz w:val="22"/>
              </w:rPr>
              <w:t>±</w:t>
            </w:r>
            <w:r>
              <w:rPr>
                <w:spacing w:val="3"/>
                <w:sz w:val="22"/>
              </w:rPr>
              <w:t> </w:t>
            </w:r>
            <w:r>
              <w:rPr>
                <w:spacing w:val="-5"/>
                <w:sz w:val="22"/>
              </w:rPr>
              <w:t>0.8</w:t>
            </w:r>
          </w:p>
        </w:tc>
      </w:tr>
      <w:tr>
        <w:trPr>
          <w:trHeight w:val="384" w:hRule="atLeast"/>
        </w:trPr>
        <w:tc>
          <w:tcPr>
            <w:tcW w:w="1469" w:type="dxa"/>
          </w:tcPr>
          <w:p>
            <w:pPr>
              <w:pStyle w:val="TableParagraph"/>
              <w:spacing w:line="234" w:lineRule="exact" w:before="130"/>
              <w:rPr>
                <w:sz w:val="22"/>
              </w:rPr>
            </w:pPr>
            <w:r>
              <w:rPr>
                <w:spacing w:val="-2"/>
                <w:sz w:val="22"/>
              </w:rPr>
              <w:t>Experimental</w:t>
            </w:r>
          </w:p>
        </w:tc>
        <w:tc>
          <w:tcPr>
            <w:tcW w:w="1997" w:type="dxa"/>
          </w:tcPr>
          <w:p>
            <w:pPr>
              <w:pStyle w:val="TableParagraph"/>
              <w:spacing w:line="234" w:lineRule="exact" w:before="130"/>
              <w:ind w:left="153"/>
              <w:rPr>
                <w:sz w:val="22"/>
              </w:rPr>
            </w:pPr>
            <w:r>
              <w:rPr>
                <w:sz w:val="22"/>
              </w:rPr>
              <w:t>Carbon</w:t>
            </w:r>
            <w:r>
              <w:rPr>
                <w:spacing w:val="10"/>
                <w:sz w:val="22"/>
              </w:rPr>
              <w:t> </w:t>
            </w:r>
            <w:r>
              <w:rPr>
                <w:spacing w:val="-2"/>
                <w:sz w:val="22"/>
              </w:rPr>
              <w:t>monoxide</w:t>
            </w:r>
          </w:p>
        </w:tc>
        <w:tc>
          <w:tcPr>
            <w:tcW w:w="2719" w:type="dxa"/>
          </w:tcPr>
          <w:p>
            <w:pPr>
              <w:pStyle w:val="TableParagraph"/>
              <w:tabs>
                <w:tab w:pos="1415" w:val="left" w:leader="none"/>
              </w:tabs>
              <w:spacing w:line="234" w:lineRule="exact" w:before="130"/>
              <w:rPr>
                <w:sz w:val="22"/>
              </w:rPr>
            </w:pPr>
            <w:r>
              <w:rPr>
                <w:sz w:val="22"/>
              </w:rPr>
              <w:t>9.4</w:t>
            </w:r>
            <w:r>
              <w:rPr>
                <w:spacing w:val="8"/>
                <w:sz w:val="22"/>
              </w:rPr>
              <w:t> </w:t>
            </w:r>
            <w:r>
              <w:rPr>
                <w:sz w:val="22"/>
              </w:rPr>
              <w:t>±</w:t>
            </w:r>
            <w:r>
              <w:rPr>
                <w:spacing w:val="1"/>
                <w:sz w:val="22"/>
              </w:rPr>
              <w:t> </w:t>
            </w:r>
            <w:r>
              <w:rPr>
                <w:spacing w:val="-5"/>
                <w:sz w:val="22"/>
              </w:rPr>
              <w:t>0.9</w:t>
            </w:r>
            <w:r>
              <w:rPr>
                <w:sz w:val="22"/>
              </w:rPr>
              <w:tab/>
              <w:t>20.8</w:t>
            </w:r>
            <w:r>
              <w:rPr>
                <w:spacing w:val="7"/>
                <w:sz w:val="22"/>
              </w:rPr>
              <w:t> </w:t>
            </w:r>
            <w:r>
              <w:rPr>
                <w:sz w:val="22"/>
              </w:rPr>
              <w:t>±</w:t>
            </w:r>
            <w:r>
              <w:rPr>
                <w:spacing w:val="2"/>
                <w:sz w:val="22"/>
              </w:rPr>
              <w:t> </w:t>
            </w:r>
            <w:r>
              <w:rPr>
                <w:spacing w:val="-5"/>
                <w:sz w:val="22"/>
              </w:rPr>
              <w:t>2.1</w:t>
            </w:r>
          </w:p>
        </w:tc>
        <w:tc>
          <w:tcPr>
            <w:tcW w:w="1784" w:type="dxa"/>
          </w:tcPr>
          <w:p>
            <w:pPr>
              <w:pStyle w:val="TableParagraph"/>
              <w:spacing w:line="234" w:lineRule="exact" w:before="130"/>
              <w:ind w:left="11"/>
              <w:rPr>
                <w:sz w:val="22"/>
              </w:rPr>
            </w:pPr>
            <w:r>
              <w:rPr>
                <w:sz w:val="22"/>
              </w:rPr>
              <w:t>11.4</w:t>
            </w:r>
            <w:r>
              <w:rPr>
                <w:spacing w:val="7"/>
                <w:sz w:val="22"/>
              </w:rPr>
              <w:t> </w:t>
            </w:r>
            <w:r>
              <w:rPr>
                <w:sz w:val="22"/>
              </w:rPr>
              <w:t>±</w:t>
            </w:r>
            <w:r>
              <w:rPr>
                <w:spacing w:val="6"/>
                <w:sz w:val="22"/>
              </w:rPr>
              <w:t> </w:t>
            </w:r>
            <w:r>
              <w:rPr>
                <w:spacing w:val="-5"/>
                <w:sz w:val="22"/>
              </w:rPr>
              <w:t>1.5</w:t>
            </w:r>
          </w:p>
        </w:tc>
      </w:tr>
    </w:tbl>
    <w:p>
      <w:pPr>
        <w:pStyle w:val="BodyText"/>
        <w:spacing w:before="3"/>
        <w:rPr>
          <w:b/>
          <w:sz w:val="20"/>
        </w:rPr>
      </w:pPr>
      <w:r>
        <w:rPr/>
        <mc:AlternateContent>
          <mc:Choice Requires="wps">
            <w:drawing>
              <wp:anchor distT="0" distB="0" distL="0" distR="0" allowOverlap="1" layoutInCell="1" locked="0" behindDoc="1" simplePos="0" relativeHeight="487605248">
                <wp:simplePos x="0" y="0"/>
                <wp:positionH relativeFrom="page">
                  <wp:posOffset>1441704</wp:posOffset>
                </wp:positionH>
                <wp:positionV relativeFrom="paragraph">
                  <wp:posOffset>163194</wp:posOffset>
                </wp:positionV>
                <wp:extent cx="5069205" cy="12700"/>
                <wp:effectExtent l="0" t="0" r="0" b="0"/>
                <wp:wrapTopAndBottom/>
                <wp:docPr id="179" name="Graphic 179"/>
                <wp:cNvGraphicFramePr>
                  <a:graphicFrameLocks/>
                </wp:cNvGraphicFramePr>
                <a:graphic>
                  <a:graphicData uri="http://schemas.microsoft.com/office/word/2010/wordprocessingShape">
                    <wps:wsp>
                      <wps:cNvPr id="179" name="Graphic 179"/>
                      <wps:cNvSpPr/>
                      <wps:spPr>
                        <a:xfrm>
                          <a:off x="0" y="0"/>
                          <a:ext cx="5069205" cy="12700"/>
                        </a:xfrm>
                        <a:custGeom>
                          <a:avLst/>
                          <a:gdLst/>
                          <a:ahLst/>
                          <a:cxnLst/>
                          <a:rect l="l" t="t" r="r" b="b"/>
                          <a:pathLst>
                            <a:path w="5069205" h="12700">
                              <a:moveTo>
                                <a:pt x="5068824" y="0"/>
                              </a:moveTo>
                              <a:lnTo>
                                <a:pt x="5068824" y="0"/>
                              </a:lnTo>
                              <a:lnTo>
                                <a:pt x="0" y="0"/>
                              </a:lnTo>
                              <a:lnTo>
                                <a:pt x="0" y="12192"/>
                              </a:lnTo>
                              <a:lnTo>
                                <a:pt x="5068824" y="12192"/>
                              </a:lnTo>
                              <a:lnTo>
                                <a:pt x="5068824"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rect style="position:absolute;margin-left:113.520004pt;margin-top:12.849976pt;width:399.120019pt;height:.96pt;mso-position-horizontal-relative:page;mso-position-vertical-relative:paragraph;z-index:-15711232;mso-wrap-distance-left:0;mso-wrap-distance-right:0" id="docshape163" filled="true" fillcolor="#4e80bc" stroked="false">
                <v:fill type="solid"/>
                <w10:wrap type="topAndBottom"/>
              </v:rect>
            </w:pict>
          </mc:Fallback>
        </mc:AlternateContent>
      </w:r>
    </w:p>
    <w:p>
      <w:pPr>
        <w:spacing w:after="0"/>
        <w:rPr>
          <w:sz w:val="20"/>
        </w:rPr>
        <w:sectPr>
          <w:pgSz w:w="12240" w:h="15840"/>
          <w:pgMar w:header="0" w:footer="916" w:top="1260" w:bottom="1100" w:left="1720" w:right="960"/>
        </w:sectPr>
      </w:pPr>
    </w:p>
    <w:p>
      <w:pPr>
        <w:pStyle w:val="Heading2"/>
        <w:ind w:right="242"/>
        <w:jc w:val="center"/>
      </w:pPr>
      <w:r>
        <w:rPr/>
        <w:t>APPENDIX</w:t>
      </w:r>
      <w:r>
        <w:rPr>
          <w:spacing w:val="17"/>
        </w:rPr>
        <w:t> </w:t>
      </w:r>
      <w:r>
        <w:rPr>
          <w:spacing w:val="-5"/>
        </w:rPr>
        <w:t>VI:</w:t>
      </w:r>
    </w:p>
    <w:p>
      <w:pPr>
        <w:pStyle w:val="BodyText"/>
        <w:rPr>
          <w:b/>
        </w:rPr>
      </w:pPr>
    </w:p>
    <w:p>
      <w:pPr>
        <w:pStyle w:val="BodyText"/>
        <w:rPr>
          <w:b/>
        </w:rPr>
      </w:pPr>
    </w:p>
    <w:p>
      <w:pPr>
        <w:pStyle w:val="BodyText"/>
        <w:spacing w:before="25"/>
        <w:rPr>
          <w:b/>
        </w:rPr>
      </w:pPr>
    </w:p>
    <w:p>
      <w:pPr>
        <w:spacing w:line="491" w:lineRule="auto" w:before="0"/>
        <w:ind w:left="665" w:right="896" w:firstLine="0"/>
        <w:jc w:val="left"/>
        <w:rPr>
          <w:b/>
          <w:sz w:val="22"/>
        </w:rPr>
      </w:pPr>
      <w:r>
        <w:rPr>
          <w:b/>
          <w:sz w:val="22"/>
        </w:rPr>
        <w:t>Table 4.9: Foot-slips of the control and experimental groups after the 30 minutes, 1 hour, and two hours of exposure.</w:t>
      </w:r>
    </w:p>
    <w:p>
      <w:pPr>
        <w:pStyle w:val="BodyText"/>
        <w:rPr>
          <w:b/>
          <w:sz w:val="20"/>
        </w:rPr>
      </w:pPr>
    </w:p>
    <w:p>
      <w:pPr>
        <w:pStyle w:val="BodyText"/>
        <w:spacing w:before="61" w:after="1"/>
        <w:rPr>
          <w:b/>
          <w:sz w:val="20"/>
        </w:rPr>
      </w:pPr>
    </w:p>
    <w:tbl>
      <w:tblPr>
        <w:tblW w:w="0" w:type="auto"/>
        <w:jc w:val="left"/>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69"/>
        <w:gridCol w:w="1916"/>
        <w:gridCol w:w="2805"/>
        <w:gridCol w:w="1530"/>
      </w:tblGrid>
      <w:tr>
        <w:trPr>
          <w:trHeight w:val="522" w:hRule="atLeast"/>
        </w:trPr>
        <w:tc>
          <w:tcPr>
            <w:tcW w:w="1469" w:type="dxa"/>
            <w:tcBorders>
              <w:top w:val="single" w:sz="8" w:space="0" w:color="4E80BC"/>
            </w:tcBorders>
          </w:tcPr>
          <w:p>
            <w:pPr>
              <w:pStyle w:val="TableParagraph"/>
              <w:spacing w:before="10"/>
              <w:rPr>
                <w:b/>
                <w:sz w:val="22"/>
              </w:rPr>
            </w:pPr>
            <w:r>
              <w:rPr>
                <w:b/>
                <w:spacing w:val="-2"/>
                <w:sz w:val="22"/>
              </w:rPr>
              <w:t>Groups</w:t>
            </w:r>
          </w:p>
        </w:tc>
        <w:tc>
          <w:tcPr>
            <w:tcW w:w="1916" w:type="dxa"/>
            <w:tcBorders>
              <w:top w:val="single" w:sz="8" w:space="0" w:color="4E80BC"/>
            </w:tcBorders>
          </w:tcPr>
          <w:p>
            <w:pPr>
              <w:pStyle w:val="TableParagraph"/>
              <w:spacing w:before="10"/>
              <w:ind w:left="153"/>
              <w:rPr>
                <w:b/>
                <w:sz w:val="22"/>
              </w:rPr>
            </w:pPr>
            <w:r>
              <w:rPr>
                <w:b/>
                <w:spacing w:val="-2"/>
                <w:sz w:val="22"/>
              </w:rPr>
              <w:t>Treatment</w:t>
            </w:r>
          </w:p>
        </w:tc>
        <w:tc>
          <w:tcPr>
            <w:tcW w:w="2805" w:type="dxa"/>
            <w:tcBorders>
              <w:top w:val="single" w:sz="8" w:space="0" w:color="4E80BC"/>
              <w:bottom w:val="single" w:sz="6" w:space="0" w:color="4E80BC"/>
            </w:tcBorders>
          </w:tcPr>
          <w:p>
            <w:pPr>
              <w:pStyle w:val="TableParagraph"/>
              <w:spacing w:before="5"/>
              <w:ind w:left="99"/>
              <w:rPr>
                <w:b/>
                <w:sz w:val="22"/>
              </w:rPr>
            </w:pPr>
            <w:r>
              <w:rPr>
                <w:b/>
                <w:sz w:val="22"/>
              </w:rPr>
              <w:t>Foot-slips</w:t>
            </w:r>
            <w:r>
              <w:rPr>
                <w:b/>
                <w:spacing w:val="7"/>
                <w:sz w:val="22"/>
              </w:rPr>
              <w:t> </w:t>
            </w:r>
            <w:r>
              <w:rPr>
                <w:b/>
                <w:sz w:val="22"/>
              </w:rPr>
              <w:t>(Mean</w:t>
            </w:r>
            <w:r>
              <w:rPr>
                <w:b/>
                <w:spacing w:val="14"/>
                <w:sz w:val="22"/>
              </w:rPr>
              <w:t> </w:t>
            </w:r>
            <w:r>
              <w:rPr>
                <w:sz w:val="22"/>
              </w:rPr>
              <w:t>±</w:t>
            </w:r>
            <w:r>
              <w:rPr>
                <w:spacing w:val="11"/>
                <w:sz w:val="22"/>
              </w:rPr>
              <w:t> </w:t>
            </w:r>
            <w:r>
              <w:rPr>
                <w:b/>
                <w:spacing w:val="-4"/>
                <w:sz w:val="22"/>
              </w:rPr>
              <w:t>SEM)</w:t>
            </w:r>
          </w:p>
        </w:tc>
        <w:tc>
          <w:tcPr>
            <w:tcW w:w="1530" w:type="dxa"/>
            <w:tcBorders>
              <w:top w:val="single" w:sz="8" w:space="0" w:color="4E80BC"/>
              <w:bottom w:val="single" w:sz="6" w:space="0" w:color="4E80BC"/>
            </w:tcBorders>
          </w:tcPr>
          <w:p>
            <w:pPr>
              <w:pStyle w:val="TableParagraph"/>
              <w:ind w:left="0"/>
              <w:rPr>
                <w:sz w:val="22"/>
              </w:rPr>
            </w:pPr>
          </w:p>
        </w:tc>
      </w:tr>
      <w:tr>
        <w:trPr>
          <w:trHeight w:val="517" w:hRule="atLeast"/>
        </w:trPr>
        <w:tc>
          <w:tcPr>
            <w:tcW w:w="1469" w:type="dxa"/>
            <w:tcBorders>
              <w:bottom w:val="single" w:sz="8" w:space="0" w:color="4E80BC"/>
            </w:tcBorders>
          </w:tcPr>
          <w:p>
            <w:pPr>
              <w:pStyle w:val="TableParagraph"/>
              <w:ind w:left="0"/>
              <w:rPr>
                <w:sz w:val="22"/>
              </w:rPr>
            </w:pPr>
          </w:p>
        </w:tc>
        <w:tc>
          <w:tcPr>
            <w:tcW w:w="1916" w:type="dxa"/>
            <w:tcBorders>
              <w:bottom w:val="single" w:sz="8" w:space="0" w:color="4E80BC"/>
            </w:tcBorders>
          </w:tcPr>
          <w:p>
            <w:pPr>
              <w:pStyle w:val="TableParagraph"/>
              <w:ind w:left="0"/>
              <w:rPr>
                <w:sz w:val="22"/>
              </w:rPr>
            </w:pPr>
          </w:p>
        </w:tc>
        <w:tc>
          <w:tcPr>
            <w:tcW w:w="2805" w:type="dxa"/>
            <w:tcBorders>
              <w:top w:val="single" w:sz="6" w:space="0" w:color="4E80BC"/>
              <w:bottom w:val="single" w:sz="8" w:space="0" w:color="4E80BC"/>
            </w:tcBorders>
          </w:tcPr>
          <w:p>
            <w:pPr>
              <w:pStyle w:val="TableParagraph"/>
              <w:tabs>
                <w:tab w:pos="1554" w:val="left" w:leader="none"/>
              </w:tabs>
              <w:spacing w:before="10"/>
              <w:ind w:left="99"/>
              <w:rPr>
                <w:b/>
                <w:sz w:val="22"/>
              </w:rPr>
            </w:pPr>
            <w:r>
              <w:rPr>
                <w:b/>
                <w:sz w:val="22"/>
              </w:rPr>
              <w:t>30</w:t>
            </w:r>
            <w:r>
              <w:rPr>
                <w:b/>
                <w:spacing w:val="6"/>
                <w:sz w:val="22"/>
              </w:rPr>
              <w:t> </w:t>
            </w:r>
            <w:r>
              <w:rPr>
                <w:b/>
                <w:spacing w:val="-2"/>
                <w:sz w:val="22"/>
              </w:rPr>
              <w:t>minutes</w:t>
            </w:r>
            <w:r>
              <w:rPr>
                <w:b/>
                <w:sz w:val="22"/>
              </w:rPr>
              <w:tab/>
              <w:t>1</w:t>
            </w:r>
            <w:r>
              <w:rPr>
                <w:b/>
                <w:spacing w:val="7"/>
                <w:sz w:val="22"/>
              </w:rPr>
              <w:t> </w:t>
            </w:r>
            <w:r>
              <w:rPr>
                <w:b/>
                <w:spacing w:val="-4"/>
                <w:sz w:val="22"/>
              </w:rPr>
              <w:t>Hour</w:t>
            </w:r>
          </w:p>
        </w:tc>
        <w:tc>
          <w:tcPr>
            <w:tcW w:w="1530" w:type="dxa"/>
            <w:tcBorders>
              <w:top w:val="single" w:sz="6" w:space="0" w:color="4E80BC"/>
              <w:bottom w:val="single" w:sz="8" w:space="0" w:color="4E80BC"/>
            </w:tcBorders>
          </w:tcPr>
          <w:p>
            <w:pPr>
              <w:pStyle w:val="TableParagraph"/>
              <w:spacing w:before="10"/>
              <w:ind w:left="275"/>
              <w:rPr>
                <w:b/>
                <w:sz w:val="22"/>
              </w:rPr>
            </w:pPr>
            <w:r>
              <w:rPr>
                <w:b/>
                <w:sz w:val="22"/>
              </w:rPr>
              <w:t>2</w:t>
            </w:r>
            <w:r>
              <w:rPr>
                <w:b/>
                <w:spacing w:val="2"/>
                <w:sz w:val="22"/>
              </w:rPr>
              <w:t> </w:t>
            </w:r>
            <w:r>
              <w:rPr>
                <w:b/>
                <w:spacing w:val="-2"/>
                <w:sz w:val="22"/>
              </w:rPr>
              <w:t>Hours</w:t>
            </w:r>
          </w:p>
        </w:tc>
      </w:tr>
      <w:tr>
        <w:trPr>
          <w:trHeight w:val="391" w:hRule="atLeast"/>
        </w:trPr>
        <w:tc>
          <w:tcPr>
            <w:tcW w:w="1469" w:type="dxa"/>
            <w:tcBorders>
              <w:top w:val="single" w:sz="8" w:space="0" w:color="4E80BC"/>
            </w:tcBorders>
          </w:tcPr>
          <w:p>
            <w:pPr>
              <w:pStyle w:val="TableParagraph"/>
              <w:rPr>
                <w:sz w:val="22"/>
              </w:rPr>
            </w:pPr>
            <w:r>
              <w:rPr>
                <w:spacing w:val="-2"/>
                <w:sz w:val="22"/>
              </w:rPr>
              <w:t>Control</w:t>
            </w:r>
          </w:p>
        </w:tc>
        <w:tc>
          <w:tcPr>
            <w:tcW w:w="1916" w:type="dxa"/>
            <w:tcBorders>
              <w:top w:val="single" w:sz="8" w:space="0" w:color="4E80BC"/>
            </w:tcBorders>
          </w:tcPr>
          <w:p>
            <w:pPr>
              <w:pStyle w:val="TableParagraph"/>
              <w:ind w:left="153"/>
              <w:rPr>
                <w:sz w:val="22"/>
              </w:rPr>
            </w:pPr>
            <w:r>
              <w:rPr>
                <w:sz w:val="22"/>
              </w:rPr>
              <w:t>Room</w:t>
            </w:r>
            <w:r>
              <w:rPr>
                <w:spacing w:val="16"/>
                <w:sz w:val="22"/>
              </w:rPr>
              <w:t> </w:t>
            </w:r>
            <w:r>
              <w:rPr>
                <w:spacing w:val="-5"/>
                <w:sz w:val="22"/>
              </w:rPr>
              <w:t>air</w:t>
            </w:r>
          </w:p>
        </w:tc>
        <w:tc>
          <w:tcPr>
            <w:tcW w:w="2805" w:type="dxa"/>
            <w:tcBorders>
              <w:top w:val="single" w:sz="8" w:space="0" w:color="4E80BC"/>
            </w:tcBorders>
          </w:tcPr>
          <w:p>
            <w:pPr>
              <w:pStyle w:val="TableParagraph"/>
              <w:tabs>
                <w:tab w:pos="1554" w:val="left" w:leader="none"/>
              </w:tabs>
              <w:ind w:left="99"/>
              <w:rPr>
                <w:sz w:val="22"/>
              </w:rPr>
            </w:pPr>
            <w:r>
              <w:rPr>
                <w:sz w:val="22"/>
              </w:rPr>
              <w:t>0.4</w:t>
            </w:r>
            <w:r>
              <w:rPr>
                <w:spacing w:val="8"/>
                <w:sz w:val="22"/>
              </w:rPr>
              <w:t> </w:t>
            </w:r>
            <w:r>
              <w:rPr>
                <w:sz w:val="22"/>
              </w:rPr>
              <w:t>±</w:t>
            </w:r>
            <w:r>
              <w:rPr>
                <w:spacing w:val="1"/>
                <w:sz w:val="22"/>
              </w:rPr>
              <w:t> </w:t>
            </w:r>
            <w:r>
              <w:rPr>
                <w:spacing w:val="-5"/>
                <w:sz w:val="22"/>
              </w:rPr>
              <w:t>0.4</w:t>
            </w:r>
            <w:r>
              <w:rPr>
                <w:sz w:val="22"/>
              </w:rPr>
              <w:tab/>
              <w:t>0.4</w:t>
            </w:r>
            <w:r>
              <w:rPr>
                <w:spacing w:val="2"/>
                <w:sz w:val="22"/>
              </w:rPr>
              <w:t> </w:t>
            </w:r>
            <w:r>
              <w:rPr>
                <w:sz w:val="22"/>
              </w:rPr>
              <w:t>±</w:t>
            </w:r>
            <w:r>
              <w:rPr>
                <w:spacing w:val="6"/>
                <w:sz w:val="22"/>
              </w:rPr>
              <w:t> </w:t>
            </w:r>
            <w:r>
              <w:rPr>
                <w:spacing w:val="-5"/>
                <w:sz w:val="22"/>
              </w:rPr>
              <w:t>0.4</w:t>
            </w:r>
          </w:p>
        </w:tc>
        <w:tc>
          <w:tcPr>
            <w:tcW w:w="1530" w:type="dxa"/>
            <w:tcBorders>
              <w:top w:val="single" w:sz="8" w:space="0" w:color="4E80BC"/>
            </w:tcBorders>
          </w:tcPr>
          <w:p>
            <w:pPr>
              <w:pStyle w:val="TableParagraph"/>
              <w:ind w:left="275"/>
              <w:rPr>
                <w:sz w:val="22"/>
              </w:rPr>
            </w:pPr>
            <w:r>
              <w:rPr>
                <w:sz w:val="22"/>
              </w:rPr>
              <w:t>1.4</w:t>
            </w:r>
            <w:r>
              <w:rPr>
                <w:spacing w:val="4"/>
                <w:sz w:val="22"/>
              </w:rPr>
              <w:t> </w:t>
            </w:r>
            <w:r>
              <w:rPr>
                <w:sz w:val="22"/>
              </w:rPr>
              <w:t>±</w:t>
            </w:r>
            <w:r>
              <w:rPr>
                <w:spacing w:val="3"/>
                <w:sz w:val="22"/>
              </w:rPr>
              <w:t> </w:t>
            </w:r>
            <w:r>
              <w:rPr>
                <w:spacing w:val="-5"/>
                <w:sz w:val="22"/>
              </w:rPr>
              <w:t>0.9</w:t>
            </w:r>
          </w:p>
        </w:tc>
      </w:tr>
      <w:tr>
        <w:trPr>
          <w:trHeight w:val="386" w:hRule="atLeast"/>
        </w:trPr>
        <w:tc>
          <w:tcPr>
            <w:tcW w:w="1469" w:type="dxa"/>
          </w:tcPr>
          <w:p>
            <w:pPr>
              <w:pStyle w:val="TableParagraph"/>
              <w:spacing w:line="234" w:lineRule="exact" w:before="132"/>
              <w:rPr>
                <w:sz w:val="22"/>
              </w:rPr>
            </w:pPr>
            <w:r>
              <w:rPr>
                <w:spacing w:val="-2"/>
                <w:sz w:val="22"/>
              </w:rPr>
              <w:t>Experimental</w:t>
            </w:r>
          </w:p>
        </w:tc>
        <w:tc>
          <w:tcPr>
            <w:tcW w:w="1916" w:type="dxa"/>
          </w:tcPr>
          <w:p>
            <w:pPr>
              <w:pStyle w:val="TableParagraph"/>
              <w:spacing w:line="234" w:lineRule="exact" w:before="132"/>
              <w:ind w:left="153"/>
              <w:rPr>
                <w:sz w:val="22"/>
              </w:rPr>
            </w:pPr>
            <w:r>
              <w:rPr>
                <w:sz w:val="22"/>
              </w:rPr>
              <w:t>Carbon</w:t>
            </w:r>
            <w:r>
              <w:rPr>
                <w:spacing w:val="10"/>
                <w:sz w:val="22"/>
              </w:rPr>
              <w:t> </w:t>
            </w:r>
            <w:r>
              <w:rPr>
                <w:spacing w:val="-2"/>
                <w:sz w:val="22"/>
              </w:rPr>
              <w:t>monoxide</w:t>
            </w:r>
          </w:p>
        </w:tc>
        <w:tc>
          <w:tcPr>
            <w:tcW w:w="2805" w:type="dxa"/>
          </w:tcPr>
          <w:p>
            <w:pPr>
              <w:pStyle w:val="TableParagraph"/>
              <w:tabs>
                <w:tab w:pos="1554" w:val="left" w:leader="none"/>
              </w:tabs>
              <w:spacing w:line="234" w:lineRule="exact" w:before="132"/>
              <w:ind w:left="99"/>
              <w:rPr>
                <w:sz w:val="22"/>
              </w:rPr>
            </w:pPr>
            <w:r>
              <w:rPr>
                <w:sz w:val="22"/>
              </w:rPr>
              <w:t>0.4</w:t>
            </w:r>
            <w:r>
              <w:rPr>
                <w:spacing w:val="8"/>
                <w:sz w:val="22"/>
              </w:rPr>
              <w:t> </w:t>
            </w:r>
            <w:r>
              <w:rPr>
                <w:sz w:val="22"/>
              </w:rPr>
              <w:t>±</w:t>
            </w:r>
            <w:r>
              <w:rPr>
                <w:spacing w:val="1"/>
                <w:sz w:val="22"/>
              </w:rPr>
              <w:t> </w:t>
            </w:r>
            <w:r>
              <w:rPr>
                <w:spacing w:val="-5"/>
                <w:sz w:val="22"/>
              </w:rPr>
              <w:t>0.4</w:t>
            </w:r>
            <w:r>
              <w:rPr>
                <w:sz w:val="22"/>
              </w:rPr>
              <w:tab/>
              <w:t>1.2</w:t>
            </w:r>
            <w:r>
              <w:rPr>
                <w:spacing w:val="2"/>
                <w:sz w:val="22"/>
              </w:rPr>
              <w:t> </w:t>
            </w:r>
            <w:r>
              <w:rPr>
                <w:sz w:val="22"/>
              </w:rPr>
              <w:t>±</w:t>
            </w:r>
            <w:r>
              <w:rPr>
                <w:spacing w:val="6"/>
                <w:sz w:val="22"/>
              </w:rPr>
              <w:t> </w:t>
            </w:r>
            <w:r>
              <w:rPr>
                <w:spacing w:val="-5"/>
                <w:sz w:val="22"/>
              </w:rPr>
              <w:t>0.4</w:t>
            </w:r>
          </w:p>
        </w:tc>
        <w:tc>
          <w:tcPr>
            <w:tcW w:w="1530" w:type="dxa"/>
          </w:tcPr>
          <w:p>
            <w:pPr>
              <w:pStyle w:val="TableParagraph"/>
              <w:spacing w:line="234" w:lineRule="exact" w:before="132"/>
              <w:ind w:left="275"/>
              <w:rPr>
                <w:sz w:val="22"/>
              </w:rPr>
            </w:pPr>
            <w:r>
              <w:rPr>
                <w:sz w:val="22"/>
              </w:rPr>
              <w:t>2.4</w:t>
            </w:r>
            <w:r>
              <w:rPr>
                <w:spacing w:val="4"/>
                <w:sz w:val="22"/>
              </w:rPr>
              <w:t> </w:t>
            </w:r>
            <w:r>
              <w:rPr>
                <w:sz w:val="22"/>
              </w:rPr>
              <w:t>±</w:t>
            </w:r>
            <w:r>
              <w:rPr>
                <w:spacing w:val="3"/>
                <w:sz w:val="22"/>
              </w:rPr>
              <w:t> </w:t>
            </w:r>
            <w:r>
              <w:rPr>
                <w:spacing w:val="-5"/>
                <w:sz w:val="22"/>
              </w:rPr>
              <w:t>0.4</w:t>
            </w:r>
          </w:p>
        </w:tc>
      </w:tr>
    </w:tbl>
    <w:p>
      <w:pPr>
        <w:pStyle w:val="BodyText"/>
        <w:spacing w:before="8"/>
        <w:rPr>
          <w:b/>
          <w:sz w:val="19"/>
        </w:rPr>
      </w:pPr>
      <w:r>
        <w:rPr/>
        <mc:AlternateContent>
          <mc:Choice Requires="wps">
            <w:drawing>
              <wp:anchor distT="0" distB="0" distL="0" distR="0" allowOverlap="1" layoutInCell="1" locked="0" behindDoc="1" simplePos="0" relativeHeight="487605760">
                <wp:simplePos x="0" y="0"/>
                <wp:positionH relativeFrom="page">
                  <wp:posOffset>1441704</wp:posOffset>
                </wp:positionH>
                <wp:positionV relativeFrom="paragraph">
                  <wp:posOffset>159130</wp:posOffset>
                </wp:positionV>
                <wp:extent cx="4910455" cy="12700"/>
                <wp:effectExtent l="0" t="0" r="0" b="0"/>
                <wp:wrapTopAndBottom/>
                <wp:docPr id="180" name="Graphic 180"/>
                <wp:cNvGraphicFramePr>
                  <a:graphicFrameLocks/>
                </wp:cNvGraphicFramePr>
                <a:graphic>
                  <a:graphicData uri="http://schemas.microsoft.com/office/word/2010/wordprocessingShape">
                    <wps:wsp>
                      <wps:cNvPr id="180" name="Graphic 180"/>
                      <wps:cNvSpPr/>
                      <wps:spPr>
                        <a:xfrm>
                          <a:off x="0" y="0"/>
                          <a:ext cx="4910455" cy="12700"/>
                        </a:xfrm>
                        <a:custGeom>
                          <a:avLst/>
                          <a:gdLst/>
                          <a:ahLst/>
                          <a:cxnLst/>
                          <a:rect l="l" t="t" r="r" b="b"/>
                          <a:pathLst>
                            <a:path w="4910455" h="12700">
                              <a:moveTo>
                                <a:pt x="4053827" y="0"/>
                              </a:moveTo>
                              <a:lnTo>
                                <a:pt x="4053827" y="0"/>
                              </a:lnTo>
                              <a:lnTo>
                                <a:pt x="0" y="0"/>
                              </a:lnTo>
                              <a:lnTo>
                                <a:pt x="0" y="12192"/>
                              </a:lnTo>
                              <a:lnTo>
                                <a:pt x="4053827" y="12192"/>
                              </a:lnTo>
                              <a:lnTo>
                                <a:pt x="4053827" y="0"/>
                              </a:lnTo>
                              <a:close/>
                            </a:path>
                            <a:path w="4910455" h="12700">
                              <a:moveTo>
                                <a:pt x="4910328" y="0"/>
                              </a:moveTo>
                              <a:lnTo>
                                <a:pt x="4053840" y="0"/>
                              </a:lnTo>
                              <a:lnTo>
                                <a:pt x="4053840" y="12192"/>
                              </a:lnTo>
                              <a:lnTo>
                                <a:pt x="4910328" y="12192"/>
                              </a:lnTo>
                              <a:lnTo>
                                <a:pt x="4910328" y="0"/>
                              </a:lnTo>
                              <a:close/>
                            </a:path>
                          </a:pathLst>
                        </a:custGeom>
                        <a:solidFill>
                          <a:srgbClr val="4E80BC"/>
                        </a:solidFill>
                      </wps:spPr>
                      <wps:bodyPr wrap="square" lIns="0" tIns="0" rIns="0" bIns="0" rtlCol="0">
                        <a:prstTxWarp prst="textNoShape">
                          <a:avLst/>
                        </a:prstTxWarp>
                        <a:noAutofit/>
                      </wps:bodyPr>
                    </wps:wsp>
                  </a:graphicData>
                </a:graphic>
              </wp:anchor>
            </w:drawing>
          </mc:Choice>
          <mc:Fallback>
            <w:pict>
              <v:shape style="position:absolute;margin-left:113.520004pt;margin-top:12.529977pt;width:386.65pt;height:1pt;mso-position-horizontal-relative:page;mso-position-vertical-relative:paragraph;z-index:-15710720;mso-wrap-distance-left:0;mso-wrap-distance-right:0" id="docshape164" coordorigin="2270,251" coordsize="7733,20" path="m8654,251l8650,251,8635,251,7128,251,7123,251,7109,251,5674,251,5669,251,5659,251,3811,251,3806,251,3792,251,2270,251,2270,270,3792,270,3806,270,3811,270,5659,270,5669,270,5674,270,7109,270,7123,270,7128,270,8635,270,8650,270,8654,270,8654,251xm10003,251l8654,251,8654,270,10003,270,10003,251xe" filled="true" fillcolor="#4e80bc" stroked="false">
                <v:path arrowok="t"/>
                <v:fill type="solid"/>
                <w10:wrap type="topAndBottom"/>
              </v:shape>
            </w:pict>
          </mc:Fallback>
        </mc:AlternateContent>
      </w:r>
    </w:p>
    <w:p>
      <w:pPr>
        <w:spacing w:after="0"/>
        <w:rPr>
          <w:sz w:val="19"/>
        </w:rPr>
        <w:sectPr>
          <w:pgSz w:w="12240" w:h="15840"/>
          <w:pgMar w:header="0" w:footer="916" w:top="1260" w:bottom="1100" w:left="1720" w:right="960"/>
        </w:sectPr>
      </w:pPr>
    </w:p>
    <w:p>
      <w:pPr>
        <w:pStyle w:val="Heading2"/>
        <w:ind w:right="243"/>
        <w:jc w:val="center"/>
      </w:pPr>
      <w:r>
        <w:rPr/>
        <w:t>APPENDIX</w:t>
      </w:r>
      <w:r>
        <w:rPr>
          <w:spacing w:val="17"/>
        </w:rPr>
        <w:t> </w:t>
      </w:r>
      <w:r>
        <w:rPr>
          <w:spacing w:val="-5"/>
        </w:rPr>
        <w:t>VII</w:t>
      </w:r>
    </w:p>
    <w:p>
      <w:pPr>
        <w:pStyle w:val="BodyText"/>
        <w:rPr>
          <w:b/>
        </w:rPr>
      </w:pPr>
    </w:p>
    <w:p>
      <w:pPr>
        <w:pStyle w:val="BodyText"/>
        <w:rPr>
          <w:b/>
        </w:rPr>
      </w:pPr>
    </w:p>
    <w:p>
      <w:pPr>
        <w:pStyle w:val="BodyText"/>
        <w:spacing w:before="25"/>
        <w:rPr>
          <w:b/>
        </w:rPr>
      </w:pPr>
    </w:p>
    <w:p>
      <w:pPr>
        <w:pStyle w:val="Heading3"/>
      </w:pPr>
      <w:r>
        <w:rPr/>
        <w:t>Table</w:t>
      </w:r>
      <w:r>
        <w:rPr>
          <w:spacing w:val="9"/>
        </w:rPr>
        <w:t> </w:t>
      </w:r>
      <w:r>
        <w:rPr/>
        <w:t>4.10:</w:t>
      </w:r>
      <w:r>
        <w:rPr>
          <w:spacing w:val="10"/>
        </w:rPr>
        <w:t> </w:t>
      </w:r>
      <w:r>
        <w:rPr/>
        <w:t>Percentage</w:t>
      </w:r>
      <w:r>
        <w:rPr>
          <w:spacing w:val="16"/>
        </w:rPr>
        <w:t> </w:t>
      </w:r>
      <w:r>
        <w:rPr/>
        <w:t>COHb</w:t>
      </w:r>
      <w:r>
        <w:rPr>
          <w:spacing w:val="19"/>
        </w:rPr>
        <w:t> </w:t>
      </w:r>
      <w:r>
        <w:rPr/>
        <w:t>in</w:t>
      </w:r>
      <w:r>
        <w:rPr>
          <w:spacing w:val="15"/>
        </w:rPr>
        <w:t> </w:t>
      </w:r>
      <w:r>
        <w:rPr/>
        <w:t>the</w:t>
      </w:r>
      <w:r>
        <w:rPr>
          <w:spacing w:val="9"/>
        </w:rPr>
        <w:t> </w:t>
      </w:r>
      <w:r>
        <w:rPr/>
        <w:t>control</w:t>
      </w:r>
      <w:r>
        <w:rPr>
          <w:spacing w:val="3"/>
        </w:rPr>
        <w:t> </w:t>
      </w:r>
      <w:r>
        <w:rPr/>
        <w:t>and</w:t>
      </w:r>
      <w:r>
        <w:rPr>
          <w:spacing w:val="14"/>
        </w:rPr>
        <w:t> </w:t>
      </w:r>
      <w:r>
        <w:rPr/>
        <w:t>experimental</w:t>
      </w:r>
      <w:r>
        <w:rPr>
          <w:spacing w:val="8"/>
        </w:rPr>
        <w:t> </w:t>
      </w:r>
      <w:r>
        <w:rPr>
          <w:spacing w:val="-2"/>
        </w:rPr>
        <w:t>groups.</w:t>
      </w:r>
    </w:p>
    <w:p>
      <w:pPr>
        <w:pStyle w:val="BodyText"/>
        <w:rPr>
          <w:b/>
          <w:sz w:val="20"/>
        </w:rPr>
      </w:pPr>
    </w:p>
    <w:p>
      <w:pPr>
        <w:pStyle w:val="BodyText"/>
        <w:rPr>
          <w:b/>
          <w:sz w:val="20"/>
        </w:rPr>
      </w:pPr>
    </w:p>
    <w:p>
      <w:pPr>
        <w:pStyle w:val="BodyText"/>
        <w:spacing w:before="64"/>
        <w:rPr>
          <w:b/>
          <w:sz w:val="20"/>
        </w:rPr>
      </w:pPr>
      <w:r>
        <w:rPr/>
        <mc:AlternateContent>
          <mc:Choice Requires="wps">
            <w:drawing>
              <wp:anchor distT="0" distB="0" distL="0" distR="0" allowOverlap="1" layoutInCell="1" locked="0" behindDoc="1" simplePos="0" relativeHeight="487606272">
                <wp:simplePos x="0" y="0"/>
                <wp:positionH relativeFrom="page">
                  <wp:posOffset>1450848</wp:posOffset>
                </wp:positionH>
                <wp:positionV relativeFrom="paragraph">
                  <wp:posOffset>202022</wp:posOffset>
                </wp:positionV>
                <wp:extent cx="4297680" cy="6350"/>
                <wp:effectExtent l="0" t="0" r="0" b="0"/>
                <wp:wrapTopAndBottom/>
                <wp:docPr id="181" name="Graphic 181"/>
                <wp:cNvGraphicFramePr>
                  <a:graphicFrameLocks/>
                </wp:cNvGraphicFramePr>
                <a:graphic>
                  <a:graphicData uri="http://schemas.microsoft.com/office/word/2010/wordprocessingShape">
                    <wps:wsp>
                      <wps:cNvPr id="181" name="Graphic 181"/>
                      <wps:cNvSpPr/>
                      <wps:spPr>
                        <a:xfrm>
                          <a:off x="0" y="0"/>
                          <a:ext cx="4297680" cy="6350"/>
                        </a:xfrm>
                        <a:custGeom>
                          <a:avLst/>
                          <a:gdLst/>
                          <a:ahLst/>
                          <a:cxnLst/>
                          <a:rect l="l" t="t" r="r" b="b"/>
                          <a:pathLst>
                            <a:path w="4297680" h="6350">
                              <a:moveTo>
                                <a:pt x="1420355" y="0"/>
                              </a:moveTo>
                              <a:lnTo>
                                <a:pt x="0" y="0"/>
                              </a:lnTo>
                              <a:lnTo>
                                <a:pt x="0" y="6096"/>
                              </a:lnTo>
                              <a:lnTo>
                                <a:pt x="1420355" y="6096"/>
                              </a:lnTo>
                              <a:lnTo>
                                <a:pt x="1420355" y="0"/>
                              </a:lnTo>
                              <a:close/>
                            </a:path>
                            <a:path w="4297680" h="6350">
                              <a:moveTo>
                                <a:pt x="4297680" y="0"/>
                              </a:moveTo>
                              <a:lnTo>
                                <a:pt x="1426464" y="0"/>
                              </a:lnTo>
                              <a:lnTo>
                                <a:pt x="1420368" y="0"/>
                              </a:lnTo>
                              <a:lnTo>
                                <a:pt x="1420368" y="6096"/>
                              </a:lnTo>
                              <a:lnTo>
                                <a:pt x="1426464" y="6096"/>
                              </a:lnTo>
                              <a:lnTo>
                                <a:pt x="4297680" y="6096"/>
                              </a:lnTo>
                              <a:lnTo>
                                <a:pt x="42976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14.240005pt;margin-top:15.907294pt;width:338.4pt;height:.5pt;mso-position-horizontal-relative:page;mso-position-vertical-relative:paragraph;z-index:-15710208;mso-wrap-distance-left:0;mso-wrap-distance-right:0" id="docshape165" coordorigin="2285,318" coordsize="6768,10" path="m4522,318l2285,318,2285,328,4522,328,4522,318xm9053,318l4531,318,4522,318,4522,328,4531,328,9053,328,9053,318xe" filled="true" fillcolor="#000000" stroked="false">
                <v:path arrowok="t"/>
                <v:fill type="solid"/>
                <w10:wrap type="topAndBottom"/>
              </v:shape>
            </w:pict>
          </mc:Fallback>
        </mc:AlternateContent>
      </w:r>
    </w:p>
    <w:p>
      <w:pPr>
        <w:tabs>
          <w:tab w:pos="2897" w:val="left" w:leader="none"/>
        </w:tabs>
        <w:spacing w:before="6"/>
        <w:ind w:left="665" w:right="0" w:firstLine="0"/>
        <w:jc w:val="left"/>
        <w:rPr>
          <w:b/>
          <w:sz w:val="22"/>
        </w:rPr>
      </w:pPr>
      <w:r>
        <w:rPr>
          <w:b/>
          <w:spacing w:val="-2"/>
          <w:sz w:val="22"/>
        </w:rPr>
        <w:t>Groups</w:t>
      </w:r>
      <w:r>
        <w:rPr>
          <w:b/>
          <w:sz w:val="22"/>
        </w:rPr>
        <w:tab/>
        <w:t>Percentage</w:t>
      </w:r>
      <w:r>
        <w:rPr>
          <w:b/>
          <w:spacing w:val="8"/>
          <w:sz w:val="22"/>
        </w:rPr>
        <w:t> </w:t>
      </w:r>
      <w:r>
        <w:rPr>
          <w:b/>
          <w:sz w:val="22"/>
        </w:rPr>
        <w:t>COHb</w:t>
      </w:r>
      <w:r>
        <w:rPr>
          <w:b/>
          <w:spacing w:val="7"/>
          <w:sz w:val="22"/>
        </w:rPr>
        <w:t> </w:t>
      </w:r>
      <w:r>
        <w:rPr>
          <w:b/>
          <w:sz w:val="22"/>
        </w:rPr>
        <w:t>in</w:t>
      </w:r>
      <w:r>
        <w:rPr>
          <w:b/>
          <w:spacing w:val="18"/>
          <w:sz w:val="22"/>
        </w:rPr>
        <w:t> </w:t>
      </w:r>
      <w:r>
        <w:rPr>
          <w:b/>
          <w:sz w:val="22"/>
        </w:rPr>
        <w:t>blood</w:t>
      </w:r>
      <w:r>
        <w:rPr>
          <w:b/>
          <w:spacing w:val="8"/>
          <w:sz w:val="22"/>
        </w:rPr>
        <w:t> </w:t>
      </w:r>
      <w:r>
        <w:rPr>
          <w:b/>
          <w:sz w:val="22"/>
        </w:rPr>
        <w:t>(Mean</w:t>
      </w:r>
      <w:r>
        <w:rPr>
          <w:b/>
          <w:spacing w:val="13"/>
          <w:sz w:val="22"/>
        </w:rPr>
        <w:t> </w:t>
      </w:r>
      <w:r>
        <w:rPr>
          <w:b/>
          <w:sz w:val="22"/>
        </w:rPr>
        <w:t>±</w:t>
      </w:r>
      <w:r>
        <w:rPr>
          <w:b/>
          <w:spacing w:val="15"/>
          <w:sz w:val="22"/>
        </w:rPr>
        <w:t> </w:t>
      </w:r>
      <w:r>
        <w:rPr>
          <w:b/>
          <w:spacing w:val="-4"/>
          <w:sz w:val="22"/>
        </w:rPr>
        <w:t>SEM)</w:t>
      </w:r>
    </w:p>
    <w:p>
      <w:pPr>
        <w:pStyle w:val="BodyText"/>
        <w:spacing w:before="5"/>
        <w:rPr>
          <w:b/>
          <w:sz w:val="20"/>
        </w:rPr>
      </w:pPr>
      <w:r>
        <w:rPr/>
        <mc:AlternateContent>
          <mc:Choice Requires="wps">
            <w:drawing>
              <wp:anchor distT="0" distB="0" distL="0" distR="0" allowOverlap="1" layoutInCell="1" locked="0" behindDoc="1" simplePos="0" relativeHeight="487606784">
                <wp:simplePos x="0" y="0"/>
                <wp:positionH relativeFrom="page">
                  <wp:posOffset>1450848</wp:posOffset>
                </wp:positionH>
                <wp:positionV relativeFrom="paragraph">
                  <wp:posOffset>164732</wp:posOffset>
                </wp:positionV>
                <wp:extent cx="4297680" cy="6350"/>
                <wp:effectExtent l="0" t="0" r="0" b="0"/>
                <wp:wrapTopAndBottom/>
                <wp:docPr id="182" name="Graphic 182"/>
                <wp:cNvGraphicFramePr>
                  <a:graphicFrameLocks/>
                </wp:cNvGraphicFramePr>
                <a:graphic>
                  <a:graphicData uri="http://schemas.microsoft.com/office/word/2010/wordprocessingShape">
                    <wps:wsp>
                      <wps:cNvPr id="182" name="Graphic 182"/>
                      <wps:cNvSpPr/>
                      <wps:spPr>
                        <a:xfrm>
                          <a:off x="0" y="0"/>
                          <a:ext cx="4297680" cy="6350"/>
                        </a:xfrm>
                        <a:custGeom>
                          <a:avLst/>
                          <a:gdLst/>
                          <a:ahLst/>
                          <a:cxnLst/>
                          <a:rect l="l" t="t" r="r" b="b"/>
                          <a:pathLst>
                            <a:path w="4297680" h="6350">
                              <a:moveTo>
                                <a:pt x="1420355" y="0"/>
                              </a:moveTo>
                              <a:lnTo>
                                <a:pt x="0" y="0"/>
                              </a:lnTo>
                              <a:lnTo>
                                <a:pt x="0" y="6096"/>
                              </a:lnTo>
                              <a:lnTo>
                                <a:pt x="1420355" y="6096"/>
                              </a:lnTo>
                              <a:lnTo>
                                <a:pt x="1420355" y="0"/>
                              </a:lnTo>
                              <a:close/>
                            </a:path>
                            <a:path w="4297680" h="6350">
                              <a:moveTo>
                                <a:pt x="4297680" y="0"/>
                              </a:moveTo>
                              <a:lnTo>
                                <a:pt x="1426464" y="0"/>
                              </a:lnTo>
                              <a:lnTo>
                                <a:pt x="1420368" y="0"/>
                              </a:lnTo>
                              <a:lnTo>
                                <a:pt x="1420368" y="6096"/>
                              </a:lnTo>
                              <a:lnTo>
                                <a:pt x="1426464" y="6096"/>
                              </a:lnTo>
                              <a:lnTo>
                                <a:pt x="4297680" y="6096"/>
                              </a:lnTo>
                              <a:lnTo>
                                <a:pt x="42976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14.240005pt;margin-top:12.971045pt;width:338.4pt;height:.5pt;mso-position-horizontal-relative:page;mso-position-vertical-relative:paragraph;z-index:-15709696;mso-wrap-distance-left:0;mso-wrap-distance-right:0" id="docshape166" coordorigin="2285,259" coordsize="6768,10" path="m4522,259l2285,259,2285,269,4522,269,4522,259xm9053,259l4531,259,4522,259,4522,269,4531,269,9053,269,9053,259xe" filled="true" fillcolor="#000000" stroked="false">
                <v:path arrowok="t"/>
                <v:fill type="solid"/>
                <w10:wrap type="topAndBottom"/>
              </v:shape>
            </w:pict>
          </mc:Fallback>
        </mc:AlternateContent>
      </w:r>
    </w:p>
    <w:p>
      <w:pPr>
        <w:tabs>
          <w:tab w:pos="2897" w:val="left" w:leader="none"/>
        </w:tabs>
        <w:spacing w:before="10"/>
        <w:ind w:left="665" w:right="0" w:firstLine="0"/>
        <w:jc w:val="left"/>
        <w:rPr>
          <w:sz w:val="22"/>
        </w:rPr>
      </w:pPr>
      <w:r>
        <w:rPr>
          <w:b/>
          <w:spacing w:val="-2"/>
          <w:sz w:val="22"/>
        </w:rPr>
        <w:t>Control</w:t>
      </w:r>
      <w:r>
        <w:rPr>
          <w:b/>
          <w:sz w:val="22"/>
        </w:rPr>
        <w:tab/>
      </w:r>
      <w:r>
        <w:rPr>
          <w:sz w:val="22"/>
        </w:rPr>
        <w:t>0.76</w:t>
      </w:r>
      <w:r>
        <w:rPr>
          <w:spacing w:val="4"/>
          <w:sz w:val="22"/>
        </w:rPr>
        <w:t> </w:t>
      </w:r>
      <w:r>
        <w:rPr>
          <w:sz w:val="22"/>
        </w:rPr>
        <w:t>±</w:t>
      </w:r>
      <w:r>
        <w:rPr>
          <w:spacing w:val="9"/>
          <w:sz w:val="22"/>
        </w:rPr>
        <w:t> </w:t>
      </w:r>
      <w:r>
        <w:rPr>
          <w:spacing w:val="-4"/>
          <w:sz w:val="22"/>
        </w:rPr>
        <w:t>0.089</w:t>
      </w:r>
    </w:p>
    <w:p>
      <w:pPr>
        <w:pStyle w:val="BodyText"/>
        <w:spacing w:before="13"/>
      </w:pPr>
    </w:p>
    <w:p>
      <w:pPr>
        <w:tabs>
          <w:tab w:pos="2897" w:val="left" w:leader="none"/>
        </w:tabs>
        <w:spacing w:before="0"/>
        <w:ind w:left="665" w:right="0" w:firstLine="0"/>
        <w:jc w:val="left"/>
        <w:rPr>
          <w:sz w:val="22"/>
        </w:rPr>
      </w:pPr>
      <w:r>
        <w:rPr>
          <w:b/>
          <w:spacing w:val="-2"/>
          <w:sz w:val="22"/>
        </w:rPr>
        <w:t>Experimental</w:t>
      </w:r>
      <w:r>
        <w:rPr>
          <w:b/>
          <w:sz w:val="22"/>
        </w:rPr>
        <w:tab/>
      </w:r>
      <w:r>
        <w:rPr>
          <w:sz w:val="22"/>
        </w:rPr>
        <w:t>2.06</w:t>
      </w:r>
      <w:r>
        <w:rPr>
          <w:spacing w:val="4"/>
          <w:sz w:val="22"/>
        </w:rPr>
        <w:t> </w:t>
      </w:r>
      <w:r>
        <w:rPr>
          <w:sz w:val="22"/>
        </w:rPr>
        <w:t>±</w:t>
      </w:r>
      <w:r>
        <w:rPr>
          <w:spacing w:val="9"/>
          <w:sz w:val="22"/>
        </w:rPr>
        <w:t> </w:t>
      </w:r>
      <w:r>
        <w:rPr>
          <w:spacing w:val="-4"/>
          <w:sz w:val="22"/>
        </w:rPr>
        <w:t>0.012</w:t>
      </w:r>
    </w:p>
    <w:p>
      <w:pPr>
        <w:pStyle w:val="BodyText"/>
        <w:spacing w:before="5"/>
        <w:rPr>
          <w:sz w:val="20"/>
        </w:rPr>
      </w:pPr>
      <w:r>
        <w:rPr/>
        <mc:AlternateContent>
          <mc:Choice Requires="wps">
            <w:drawing>
              <wp:anchor distT="0" distB="0" distL="0" distR="0" allowOverlap="1" layoutInCell="1" locked="0" behindDoc="1" simplePos="0" relativeHeight="487607296">
                <wp:simplePos x="0" y="0"/>
                <wp:positionH relativeFrom="page">
                  <wp:posOffset>1441704</wp:posOffset>
                </wp:positionH>
                <wp:positionV relativeFrom="paragraph">
                  <wp:posOffset>164452</wp:posOffset>
                </wp:positionV>
                <wp:extent cx="4307205" cy="6350"/>
                <wp:effectExtent l="0" t="0" r="0" b="0"/>
                <wp:wrapTopAndBottom/>
                <wp:docPr id="183" name="Graphic 183"/>
                <wp:cNvGraphicFramePr>
                  <a:graphicFrameLocks/>
                </wp:cNvGraphicFramePr>
                <a:graphic>
                  <a:graphicData uri="http://schemas.microsoft.com/office/word/2010/wordprocessingShape">
                    <wps:wsp>
                      <wps:cNvPr id="183" name="Graphic 183"/>
                      <wps:cNvSpPr/>
                      <wps:spPr>
                        <a:xfrm>
                          <a:off x="0" y="0"/>
                          <a:ext cx="4307205" cy="6350"/>
                        </a:xfrm>
                        <a:custGeom>
                          <a:avLst/>
                          <a:gdLst/>
                          <a:ahLst/>
                          <a:cxnLst/>
                          <a:rect l="l" t="t" r="r" b="b"/>
                          <a:pathLst>
                            <a:path w="4307205" h="6350">
                              <a:moveTo>
                                <a:pt x="4306824" y="0"/>
                              </a:moveTo>
                              <a:lnTo>
                                <a:pt x="1429499" y="0"/>
                              </a:lnTo>
                              <a:lnTo>
                                <a:pt x="1426464" y="0"/>
                              </a:lnTo>
                              <a:lnTo>
                                <a:pt x="1420368" y="0"/>
                              </a:lnTo>
                              <a:lnTo>
                                <a:pt x="0" y="0"/>
                              </a:lnTo>
                              <a:lnTo>
                                <a:pt x="0" y="6096"/>
                              </a:lnTo>
                              <a:lnTo>
                                <a:pt x="1420368" y="6096"/>
                              </a:lnTo>
                              <a:lnTo>
                                <a:pt x="1426464" y="6096"/>
                              </a:lnTo>
                              <a:lnTo>
                                <a:pt x="1429499" y="6096"/>
                              </a:lnTo>
                              <a:lnTo>
                                <a:pt x="4306824" y="6096"/>
                              </a:lnTo>
                              <a:lnTo>
                                <a:pt x="43068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13.520004pt;margin-top:12.948997pt;width:339.15pt;height:.5pt;mso-position-horizontal-relative:page;mso-position-vertical-relative:paragraph;z-index:-15709184;mso-wrap-distance-left:0;mso-wrap-distance-right:0" id="docshape167" coordorigin="2270,259" coordsize="6783,10" path="m9053,259l4522,259,4517,259,4507,259,2270,259,2270,269,4507,269,4517,269,4522,269,9053,269,9053,259xe" filled="true" fillcolor="#000000" stroked="false">
                <v:path arrowok="t"/>
                <v:fill type="solid"/>
                <w10:wrap type="topAndBottom"/>
              </v:shape>
            </w:pict>
          </mc:Fallback>
        </mc:AlternateContent>
      </w:r>
    </w:p>
    <w:p>
      <w:pPr>
        <w:spacing w:after="0"/>
        <w:rPr>
          <w:sz w:val="20"/>
        </w:rPr>
        <w:sectPr>
          <w:pgSz w:w="12240" w:h="15840"/>
          <w:pgMar w:header="0" w:footer="916" w:top="1260" w:bottom="1100" w:left="1720" w:right="960"/>
        </w:sectPr>
      </w:pPr>
    </w:p>
    <w:p>
      <w:pPr>
        <w:pStyle w:val="Heading2"/>
        <w:ind w:left="457" w:right="696"/>
        <w:jc w:val="center"/>
      </w:pPr>
      <w:r>
        <w:rPr/>
        <w:t>APPENDIX</w:t>
      </w:r>
      <w:r>
        <w:rPr>
          <w:spacing w:val="17"/>
        </w:rPr>
        <w:t> </w:t>
      </w:r>
      <w:r>
        <w:rPr>
          <w:spacing w:val="-4"/>
        </w:rPr>
        <w:t>VIII</w:t>
      </w:r>
    </w:p>
    <w:p>
      <w:pPr>
        <w:pStyle w:val="BodyText"/>
        <w:rPr>
          <w:b/>
          <w:sz w:val="20"/>
        </w:rPr>
      </w:pPr>
    </w:p>
    <w:p>
      <w:pPr>
        <w:pStyle w:val="BodyText"/>
        <w:rPr>
          <w:b/>
          <w:sz w:val="20"/>
        </w:rPr>
      </w:pPr>
    </w:p>
    <w:p>
      <w:pPr>
        <w:pStyle w:val="BodyText"/>
        <w:rPr>
          <w:b/>
          <w:sz w:val="20"/>
        </w:rPr>
      </w:pPr>
    </w:p>
    <w:p>
      <w:pPr>
        <w:pStyle w:val="BodyText"/>
        <w:spacing w:before="103"/>
        <w:rPr>
          <w:b/>
          <w:sz w:val="20"/>
        </w:rPr>
      </w:pPr>
      <w:r>
        <w:rPr/>
        <w:drawing>
          <wp:anchor distT="0" distB="0" distL="0" distR="0" allowOverlap="1" layoutInCell="1" locked="0" behindDoc="1" simplePos="0" relativeHeight="487607808">
            <wp:simplePos x="0" y="0"/>
            <wp:positionH relativeFrom="page">
              <wp:posOffset>1542288</wp:posOffset>
            </wp:positionH>
            <wp:positionV relativeFrom="paragraph">
              <wp:posOffset>226745</wp:posOffset>
            </wp:positionV>
            <wp:extent cx="4584192" cy="2633472"/>
            <wp:effectExtent l="0" t="0" r="0" b="0"/>
            <wp:wrapTopAndBottom/>
            <wp:docPr id="184" name="Image 184"/>
            <wp:cNvGraphicFramePr>
              <a:graphicFrameLocks/>
            </wp:cNvGraphicFramePr>
            <a:graphic>
              <a:graphicData uri="http://schemas.openxmlformats.org/drawingml/2006/picture">
                <pic:pic>
                  <pic:nvPicPr>
                    <pic:cNvPr id="184" name="Image 184"/>
                    <pic:cNvPicPr/>
                  </pic:nvPicPr>
                  <pic:blipFill>
                    <a:blip r:embed="rId20" cstate="print"/>
                    <a:stretch>
                      <a:fillRect/>
                    </a:stretch>
                  </pic:blipFill>
                  <pic:spPr>
                    <a:xfrm>
                      <a:off x="0" y="0"/>
                      <a:ext cx="4584192" cy="2633472"/>
                    </a:xfrm>
                    <a:prstGeom prst="rect">
                      <a:avLst/>
                    </a:prstGeom>
                  </pic:spPr>
                </pic:pic>
              </a:graphicData>
            </a:graphic>
          </wp:anchor>
        </w:drawing>
      </w:r>
    </w:p>
    <w:p>
      <w:pPr>
        <w:pStyle w:val="BodyText"/>
        <w:rPr>
          <w:b/>
        </w:rPr>
      </w:pPr>
    </w:p>
    <w:p>
      <w:pPr>
        <w:pStyle w:val="BodyText"/>
        <w:rPr>
          <w:b/>
        </w:rPr>
      </w:pPr>
    </w:p>
    <w:p>
      <w:pPr>
        <w:pStyle w:val="BodyText"/>
        <w:spacing w:before="34"/>
        <w:rPr>
          <w:b/>
        </w:rPr>
      </w:pPr>
    </w:p>
    <w:p>
      <w:pPr>
        <w:pStyle w:val="BodyText"/>
        <w:spacing w:line="491" w:lineRule="auto"/>
        <w:ind w:left="665" w:right="897"/>
        <w:jc w:val="both"/>
      </w:pPr>
      <w:r>
        <w:rPr>
          <w:b/>
        </w:rPr>
        <w:t>Figure 3.6: Calculated values of A</w:t>
      </w:r>
      <w:r>
        <w:rPr>
          <w:b/>
          <w:vertAlign w:val="subscript"/>
        </w:rPr>
        <w:t>R</w:t>
      </w:r>
      <w:r>
        <w:rPr>
          <w:b/>
          <w:vertAlign w:val="baseline"/>
        </w:rPr>
        <w:t> at various proportions of carboxyhaemoglobin. </w:t>
      </w:r>
      <w:r>
        <w:rPr>
          <w:vertAlign w:val="baseline"/>
        </w:rPr>
        <w:t>A</w:t>
      </w:r>
      <w:r>
        <w:rPr>
          <w:vertAlign w:val="subscript"/>
        </w:rPr>
        <w:t>R</w:t>
      </w:r>
      <w:r>
        <w:rPr>
          <w:spacing w:val="-9"/>
          <w:vertAlign w:val="baseline"/>
        </w:rPr>
        <w:t> </w:t>
      </w:r>
      <w:r>
        <w:rPr>
          <w:vertAlign w:val="baseline"/>
        </w:rPr>
        <w:t>calculated with values for F1, F2, and F3 computed from the published absorptivities for Hb and CO-Hb at 420 and 432 nm. A</w:t>
      </w:r>
      <w:r>
        <w:rPr>
          <w:vertAlign w:val="subscript"/>
        </w:rPr>
        <w:t>R</w:t>
      </w:r>
      <w:r>
        <w:rPr>
          <w:vertAlign w:val="baseline"/>
        </w:rPr>
        <w:t> calculated from values for F1, F2, and F3 derived experimentally.</w:t>
      </w:r>
      <w:r>
        <w:rPr>
          <w:spacing w:val="31"/>
          <w:vertAlign w:val="baseline"/>
        </w:rPr>
        <w:t> </w:t>
      </w:r>
      <w:r>
        <w:rPr>
          <w:vertAlign w:val="baseline"/>
        </w:rPr>
        <w:t>The curve shown in Figure 1 represents the calculated</w:t>
      </w:r>
      <w:r>
        <w:rPr>
          <w:spacing w:val="32"/>
          <w:vertAlign w:val="baseline"/>
        </w:rPr>
        <w:t> </w:t>
      </w:r>
      <w:r>
        <w:rPr>
          <w:vertAlign w:val="baseline"/>
        </w:rPr>
        <w:t>value of </w:t>
      </w:r>
      <w:r>
        <w:rPr>
          <w:i/>
          <w:vertAlign w:val="baseline"/>
        </w:rPr>
        <w:t>AR </w:t>
      </w:r>
      <w:r>
        <w:rPr>
          <w:vertAlign w:val="baseline"/>
        </w:rPr>
        <w:t>at various proportions of CO-Hb. The curve formed when AR was calculated from values</w:t>
      </w:r>
      <w:r>
        <w:rPr>
          <w:spacing w:val="40"/>
          <w:vertAlign w:val="baseline"/>
        </w:rPr>
        <w:t> </w:t>
      </w:r>
      <w:r>
        <w:rPr>
          <w:vertAlign w:val="baseline"/>
        </w:rPr>
        <w:t>for</w:t>
      </w:r>
      <w:r>
        <w:rPr>
          <w:spacing w:val="40"/>
          <w:vertAlign w:val="baseline"/>
        </w:rPr>
        <w:t> </w:t>
      </w:r>
      <w:r>
        <w:rPr>
          <w:vertAlign w:val="baseline"/>
        </w:rPr>
        <w:t>F1,</w:t>
      </w:r>
      <w:r>
        <w:rPr>
          <w:spacing w:val="40"/>
          <w:vertAlign w:val="baseline"/>
        </w:rPr>
        <w:t> </w:t>
      </w:r>
      <w:r>
        <w:rPr>
          <w:vertAlign w:val="baseline"/>
        </w:rPr>
        <w:t>F2,</w:t>
      </w:r>
      <w:r>
        <w:rPr>
          <w:spacing w:val="40"/>
          <w:vertAlign w:val="baseline"/>
        </w:rPr>
        <w:t> </w:t>
      </w:r>
      <w:r>
        <w:rPr>
          <w:vertAlign w:val="baseline"/>
        </w:rPr>
        <w:t>and</w:t>
      </w:r>
      <w:r>
        <w:rPr>
          <w:spacing w:val="40"/>
          <w:vertAlign w:val="baseline"/>
        </w:rPr>
        <w:t> </w:t>
      </w:r>
      <w:r>
        <w:rPr>
          <w:vertAlign w:val="baseline"/>
        </w:rPr>
        <w:t>F3</w:t>
      </w:r>
      <w:r>
        <w:rPr>
          <w:spacing w:val="40"/>
          <w:vertAlign w:val="baseline"/>
        </w:rPr>
        <w:t> </w:t>
      </w:r>
      <w:r>
        <w:rPr>
          <w:vertAlign w:val="baseline"/>
        </w:rPr>
        <w:t>derived</w:t>
      </w:r>
      <w:r>
        <w:rPr>
          <w:spacing w:val="40"/>
          <w:vertAlign w:val="baseline"/>
        </w:rPr>
        <w:t> </w:t>
      </w:r>
      <w:r>
        <w:rPr>
          <w:vertAlign w:val="baseline"/>
        </w:rPr>
        <w:t>experimentally</w:t>
      </w:r>
      <w:r>
        <w:rPr>
          <w:spacing w:val="40"/>
          <w:vertAlign w:val="baseline"/>
        </w:rPr>
        <w:t> </w:t>
      </w:r>
      <w:r>
        <w:rPr>
          <w:vertAlign w:val="baseline"/>
        </w:rPr>
        <w:t>closely</w:t>
      </w:r>
      <w:r>
        <w:rPr>
          <w:spacing w:val="40"/>
          <w:vertAlign w:val="baseline"/>
        </w:rPr>
        <w:t> </w:t>
      </w:r>
      <w:r>
        <w:rPr>
          <w:vertAlign w:val="baseline"/>
        </w:rPr>
        <w:t>approximated</w:t>
      </w:r>
      <w:r>
        <w:rPr>
          <w:spacing w:val="40"/>
          <w:vertAlign w:val="baseline"/>
        </w:rPr>
        <w:t> </w:t>
      </w:r>
      <w:r>
        <w:rPr>
          <w:vertAlign w:val="baseline"/>
        </w:rPr>
        <w:t>that</w:t>
      </w:r>
      <w:r>
        <w:rPr>
          <w:spacing w:val="40"/>
          <w:vertAlign w:val="baseline"/>
        </w:rPr>
        <w:t> </w:t>
      </w:r>
      <w:r>
        <w:rPr>
          <w:vertAlign w:val="baseline"/>
        </w:rPr>
        <w:t>formed when AR was calculated from values of F1, F2, and F3 computed from the published molar absorptivities.</w:t>
      </w:r>
    </w:p>
    <w:p>
      <w:pPr>
        <w:spacing w:after="0" w:line="491" w:lineRule="auto"/>
        <w:jc w:val="both"/>
        <w:sectPr>
          <w:pgSz w:w="12240" w:h="15840"/>
          <w:pgMar w:header="0" w:footer="916" w:top="1260" w:bottom="1100" w:left="1720" w:right="960"/>
        </w:sectPr>
      </w:pPr>
    </w:p>
    <w:p>
      <w:pPr>
        <w:pStyle w:val="Heading2"/>
        <w:ind w:right="240"/>
        <w:jc w:val="center"/>
      </w:pPr>
      <w:r>
        <w:rPr/>
        <w:t>APPENDIX</w:t>
      </w:r>
      <w:r>
        <w:rPr>
          <w:spacing w:val="18"/>
        </w:rPr>
        <w:t> </w:t>
      </w:r>
      <w:r>
        <w:rPr>
          <w:spacing w:val="-5"/>
        </w:rPr>
        <w:t>IX</w:t>
      </w:r>
    </w:p>
    <w:p>
      <w:pPr>
        <w:pStyle w:val="BodyText"/>
        <w:rPr>
          <w:b/>
        </w:rPr>
      </w:pPr>
    </w:p>
    <w:p>
      <w:pPr>
        <w:pStyle w:val="BodyText"/>
        <w:rPr>
          <w:b/>
        </w:rPr>
      </w:pPr>
    </w:p>
    <w:p>
      <w:pPr>
        <w:pStyle w:val="BodyText"/>
        <w:spacing w:before="25"/>
        <w:rPr>
          <w:b/>
        </w:rPr>
      </w:pPr>
    </w:p>
    <w:p>
      <w:pPr>
        <w:pStyle w:val="Heading3"/>
        <w:spacing w:line="491" w:lineRule="auto"/>
        <w:ind w:right="897"/>
      </w:pPr>
      <w:r>
        <w:rPr/>
        <mc:AlternateContent>
          <mc:Choice Requires="wps">
            <w:drawing>
              <wp:anchor distT="0" distB="0" distL="0" distR="0" allowOverlap="1" layoutInCell="1" locked="0" behindDoc="0" simplePos="0" relativeHeight="15749632">
                <wp:simplePos x="0" y="0"/>
                <wp:positionH relativeFrom="page">
                  <wp:posOffset>1450848</wp:posOffset>
                </wp:positionH>
                <wp:positionV relativeFrom="paragraph">
                  <wp:posOffset>654739</wp:posOffset>
                </wp:positionV>
                <wp:extent cx="5206365" cy="6350"/>
                <wp:effectExtent l="0" t="0" r="0" b="0"/>
                <wp:wrapNone/>
                <wp:docPr id="185" name="Graphic 185"/>
                <wp:cNvGraphicFramePr>
                  <a:graphicFrameLocks/>
                </wp:cNvGraphicFramePr>
                <a:graphic>
                  <a:graphicData uri="http://schemas.microsoft.com/office/word/2010/wordprocessingShape">
                    <wps:wsp>
                      <wps:cNvPr id="185" name="Graphic 185"/>
                      <wps:cNvSpPr/>
                      <wps:spPr>
                        <a:xfrm>
                          <a:off x="0" y="0"/>
                          <a:ext cx="5206365" cy="6350"/>
                        </a:xfrm>
                        <a:custGeom>
                          <a:avLst/>
                          <a:gdLst/>
                          <a:ahLst/>
                          <a:cxnLst/>
                          <a:rect l="l" t="t" r="r" b="b"/>
                          <a:pathLst>
                            <a:path w="5206365" h="6350">
                              <a:moveTo>
                                <a:pt x="5205971" y="0"/>
                              </a:moveTo>
                              <a:lnTo>
                                <a:pt x="2715768" y="0"/>
                              </a:lnTo>
                              <a:lnTo>
                                <a:pt x="2709672" y="0"/>
                              </a:lnTo>
                              <a:lnTo>
                                <a:pt x="0" y="0"/>
                              </a:lnTo>
                              <a:lnTo>
                                <a:pt x="0" y="6096"/>
                              </a:lnTo>
                              <a:lnTo>
                                <a:pt x="2709672" y="6096"/>
                              </a:lnTo>
                              <a:lnTo>
                                <a:pt x="2715768" y="6096"/>
                              </a:lnTo>
                              <a:lnTo>
                                <a:pt x="5205971" y="6096"/>
                              </a:lnTo>
                              <a:lnTo>
                                <a:pt x="520597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14.240005pt;margin-top:51.554268pt;width:409.95pt;height:.5pt;mso-position-horizontal-relative:page;mso-position-vertical-relative:paragraph;z-index:15749632" id="docshape168" coordorigin="2285,1031" coordsize="8199,10" path="m10483,1031l6562,1031,6552,1031,2285,1031,2285,1041,6552,1041,6562,1041,10483,1041,10483,1031xe" filled="true" fillcolor="#000000" stroked="false">
                <v:path arrowok="t"/>
                <v:fill type="solid"/>
                <w10:wrap type="none"/>
              </v:shape>
            </w:pict>
          </mc:Fallback>
        </mc:AlternateContent>
      </w:r>
      <w:r>
        <w:rPr/>
        <w:t>Table</w:t>
      </w:r>
      <w:r>
        <w:rPr>
          <w:spacing w:val="80"/>
        </w:rPr>
        <w:t> </w:t>
      </w:r>
      <w:r>
        <w:rPr/>
        <w:t>1.1:</w:t>
      </w:r>
      <w:r>
        <w:rPr>
          <w:spacing w:val="80"/>
        </w:rPr>
        <w:t> </w:t>
      </w:r>
      <w:r>
        <w:rPr/>
        <w:t>Blood</w:t>
      </w:r>
      <w:r>
        <w:rPr>
          <w:spacing w:val="80"/>
        </w:rPr>
        <w:t> </w:t>
      </w:r>
      <w:r>
        <w:rPr/>
        <w:t>carboxyhaemoglobin</w:t>
      </w:r>
      <w:r>
        <w:rPr>
          <w:spacing w:val="80"/>
        </w:rPr>
        <w:t> </w:t>
      </w:r>
      <w:r>
        <w:rPr/>
        <w:t>levels</w:t>
      </w:r>
      <w:r>
        <w:rPr>
          <w:spacing w:val="80"/>
        </w:rPr>
        <w:t> </w:t>
      </w:r>
      <w:r>
        <w:rPr/>
        <w:t>as</w:t>
      </w:r>
      <w:r>
        <w:rPr>
          <w:spacing w:val="80"/>
        </w:rPr>
        <w:t> </w:t>
      </w:r>
      <w:r>
        <w:rPr/>
        <w:t>predicted</w:t>
      </w:r>
      <w:r>
        <w:rPr>
          <w:spacing w:val="80"/>
        </w:rPr>
        <w:t> </w:t>
      </w:r>
      <w:r>
        <w:rPr/>
        <w:t>from</w:t>
      </w:r>
      <w:r>
        <w:rPr>
          <w:spacing w:val="80"/>
        </w:rPr>
        <w:t> </w:t>
      </w:r>
      <w:r>
        <w:rPr/>
        <w:t>the</w:t>
      </w:r>
      <w:r>
        <w:rPr>
          <w:spacing w:val="80"/>
        </w:rPr>
        <w:t> </w:t>
      </w:r>
      <w:r>
        <w:rPr/>
        <w:t>Coburn- Forster-Kane (CFK) model (Coburn, 1965).</w:t>
      </w:r>
    </w:p>
    <w:p>
      <w:pPr>
        <w:spacing w:after="0" w:line="491" w:lineRule="auto"/>
        <w:sectPr>
          <w:pgSz w:w="12240" w:h="15840"/>
          <w:pgMar w:header="0" w:footer="916" w:top="1260" w:bottom="1100" w:left="1720" w:right="960"/>
        </w:sectPr>
      </w:pPr>
    </w:p>
    <w:p>
      <w:pPr>
        <w:spacing w:line="501" w:lineRule="auto" w:before="0"/>
        <w:ind w:left="665" w:right="0" w:firstLine="0"/>
        <w:jc w:val="left"/>
        <w:rPr>
          <w:b/>
          <w:sz w:val="20"/>
        </w:rPr>
      </w:pPr>
      <w:r>
        <w:rPr/>
        <mc:AlternateContent>
          <mc:Choice Requires="wps">
            <w:drawing>
              <wp:anchor distT="0" distB="0" distL="0" distR="0" allowOverlap="1" layoutInCell="1" locked="0" behindDoc="0" simplePos="0" relativeHeight="15750144">
                <wp:simplePos x="0" y="0"/>
                <wp:positionH relativeFrom="page">
                  <wp:posOffset>1450848</wp:posOffset>
                </wp:positionH>
                <wp:positionV relativeFrom="paragraph">
                  <wp:posOffset>605709</wp:posOffset>
                </wp:positionV>
                <wp:extent cx="5206365" cy="6350"/>
                <wp:effectExtent l="0" t="0" r="0" b="0"/>
                <wp:wrapNone/>
                <wp:docPr id="186" name="Graphic 186"/>
                <wp:cNvGraphicFramePr>
                  <a:graphicFrameLocks/>
                </wp:cNvGraphicFramePr>
                <a:graphic>
                  <a:graphicData uri="http://schemas.microsoft.com/office/word/2010/wordprocessingShape">
                    <wps:wsp>
                      <wps:cNvPr id="186" name="Graphic 186"/>
                      <wps:cNvSpPr/>
                      <wps:spPr>
                        <a:xfrm>
                          <a:off x="0" y="0"/>
                          <a:ext cx="5206365" cy="6350"/>
                        </a:xfrm>
                        <a:custGeom>
                          <a:avLst/>
                          <a:gdLst/>
                          <a:ahLst/>
                          <a:cxnLst/>
                          <a:rect l="l" t="t" r="r" b="b"/>
                          <a:pathLst>
                            <a:path w="5206365" h="6350">
                              <a:moveTo>
                                <a:pt x="5205971" y="0"/>
                              </a:moveTo>
                              <a:lnTo>
                                <a:pt x="2715768" y="0"/>
                              </a:lnTo>
                              <a:lnTo>
                                <a:pt x="2709672" y="0"/>
                              </a:lnTo>
                              <a:lnTo>
                                <a:pt x="0" y="0"/>
                              </a:lnTo>
                              <a:lnTo>
                                <a:pt x="0" y="6096"/>
                              </a:lnTo>
                              <a:lnTo>
                                <a:pt x="2709672" y="6096"/>
                              </a:lnTo>
                              <a:lnTo>
                                <a:pt x="2715768" y="6096"/>
                              </a:lnTo>
                              <a:lnTo>
                                <a:pt x="5205971" y="6096"/>
                              </a:lnTo>
                              <a:lnTo>
                                <a:pt x="520597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14.240005pt;margin-top:47.693672pt;width:409.95pt;height:.5pt;mso-position-horizontal-relative:page;mso-position-vertical-relative:paragraph;z-index:15750144" id="docshape169" coordorigin="2285,954" coordsize="8199,10" path="m10483,954l6562,954,6552,954,2285,954,2285,963,6552,963,6562,963,10483,963,10483,954xe" filled="true" fillcolor="#000000" stroked="false">
                <v:path arrowok="t"/>
                <v:fill type="solid"/>
                <w10:wrap type="none"/>
              </v:shape>
            </w:pict>
          </mc:Fallback>
        </mc:AlternateContent>
      </w:r>
      <w:r>
        <w:rPr>
          <w:b/>
          <w:w w:val="105"/>
          <w:sz w:val="20"/>
        </w:rPr>
        <w:t>Carbon</w:t>
      </w:r>
      <w:r>
        <w:rPr>
          <w:b/>
          <w:spacing w:val="80"/>
          <w:w w:val="105"/>
          <w:sz w:val="20"/>
        </w:rPr>
        <w:t> </w:t>
      </w:r>
      <w:r>
        <w:rPr>
          <w:b/>
          <w:w w:val="105"/>
          <w:sz w:val="20"/>
        </w:rPr>
        <w:t>monoxide</w:t>
      </w:r>
      <w:r>
        <w:rPr>
          <w:b/>
          <w:spacing w:val="80"/>
          <w:w w:val="105"/>
          <w:sz w:val="20"/>
        </w:rPr>
        <w:t> </w:t>
      </w:r>
      <w:r>
        <w:rPr>
          <w:b/>
          <w:w w:val="105"/>
          <w:sz w:val="20"/>
        </w:rPr>
        <w:t>exposure</w:t>
      </w:r>
      <w:r>
        <w:rPr>
          <w:b/>
          <w:spacing w:val="80"/>
          <w:w w:val="105"/>
          <w:sz w:val="20"/>
        </w:rPr>
        <w:t> </w:t>
      </w:r>
      <w:r>
        <w:rPr>
          <w:b/>
          <w:w w:val="105"/>
          <w:sz w:val="20"/>
        </w:rPr>
        <w:t>concentration </w:t>
      </w:r>
      <w:r>
        <w:rPr>
          <w:b/>
          <w:spacing w:val="-2"/>
          <w:w w:val="105"/>
          <w:sz w:val="20"/>
        </w:rPr>
        <w:t>(ppm)</w:t>
      </w:r>
    </w:p>
    <w:p>
      <w:pPr>
        <w:spacing w:line="501" w:lineRule="auto" w:before="0"/>
        <w:ind w:left="160" w:right="905" w:firstLine="0"/>
        <w:jc w:val="left"/>
        <w:rPr>
          <w:b/>
          <w:sz w:val="20"/>
        </w:rPr>
      </w:pPr>
      <w:r>
        <w:rPr/>
        <w:br w:type="column"/>
      </w:r>
      <w:r>
        <w:rPr>
          <w:b/>
          <w:w w:val="105"/>
          <w:sz w:val="20"/>
        </w:rPr>
        <w:t>Steady-state</w:t>
      </w:r>
      <w:r>
        <w:rPr>
          <w:b/>
          <w:spacing w:val="39"/>
          <w:w w:val="105"/>
          <w:sz w:val="20"/>
        </w:rPr>
        <w:t> </w:t>
      </w:r>
      <w:r>
        <w:rPr>
          <w:b/>
          <w:w w:val="105"/>
          <w:sz w:val="20"/>
        </w:rPr>
        <w:t>blood</w:t>
      </w:r>
      <w:r>
        <w:rPr>
          <w:b/>
          <w:spacing w:val="42"/>
          <w:w w:val="105"/>
          <w:sz w:val="20"/>
        </w:rPr>
        <w:t> </w:t>
      </w:r>
      <w:r>
        <w:rPr>
          <w:b/>
          <w:w w:val="105"/>
          <w:sz w:val="20"/>
        </w:rPr>
        <w:t>Carboxy-hemoglobin </w:t>
      </w:r>
      <w:r>
        <w:rPr>
          <w:b/>
          <w:spacing w:val="-4"/>
          <w:w w:val="105"/>
          <w:sz w:val="20"/>
        </w:rPr>
        <w:t>(%)</w:t>
      </w:r>
    </w:p>
    <w:p>
      <w:pPr>
        <w:spacing w:after="0" w:line="501" w:lineRule="auto"/>
        <w:jc w:val="left"/>
        <w:rPr>
          <w:sz w:val="20"/>
        </w:rPr>
        <w:sectPr>
          <w:type w:val="continuous"/>
          <w:pgSz w:w="12240" w:h="15840"/>
          <w:pgMar w:header="0" w:footer="916" w:top="1260" w:bottom="280" w:left="1720" w:right="960"/>
          <w:cols w:num="2" w:equalWidth="0">
            <w:col w:w="4728" w:space="40"/>
            <w:col w:w="4792"/>
          </w:cols>
        </w:sectPr>
      </w:pPr>
    </w:p>
    <w:p>
      <w:pPr>
        <w:spacing w:line="228" w:lineRule="exact" w:before="0"/>
        <w:ind w:left="766" w:right="0" w:firstLine="0"/>
        <w:jc w:val="left"/>
        <w:rPr>
          <w:sz w:val="20"/>
        </w:rPr>
      </w:pPr>
      <w:r>
        <w:rPr>
          <w:spacing w:val="-5"/>
          <w:w w:val="105"/>
          <w:sz w:val="20"/>
        </w:rPr>
        <w:t>0.1</w:t>
      </w:r>
    </w:p>
    <w:p>
      <w:pPr>
        <w:pStyle w:val="BodyText"/>
        <w:spacing w:before="20"/>
        <w:rPr>
          <w:sz w:val="20"/>
        </w:rPr>
      </w:pPr>
    </w:p>
    <w:p>
      <w:pPr>
        <w:spacing w:before="0"/>
        <w:ind w:left="766" w:right="0" w:firstLine="0"/>
        <w:jc w:val="left"/>
        <w:rPr>
          <w:sz w:val="20"/>
        </w:rPr>
      </w:pPr>
      <w:r>
        <w:rPr>
          <w:spacing w:val="-5"/>
          <w:w w:val="105"/>
          <w:sz w:val="20"/>
        </w:rPr>
        <w:t>0.5</w:t>
      </w:r>
    </w:p>
    <w:p>
      <w:pPr>
        <w:pStyle w:val="BodyText"/>
        <w:spacing w:before="15"/>
        <w:rPr>
          <w:sz w:val="20"/>
        </w:rPr>
      </w:pPr>
    </w:p>
    <w:p>
      <w:pPr>
        <w:spacing w:before="0"/>
        <w:ind w:left="766" w:right="0" w:firstLine="0"/>
        <w:jc w:val="left"/>
        <w:rPr>
          <w:sz w:val="20"/>
        </w:rPr>
      </w:pPr>
      <w:r>
        <w:rPr>
          <w:spacing w:val="-10"/>
          <w:w w:val="105"/>
          <w:sz w:val="20"/>
        </w:rPr>
        <w:t>1</w:t>
      </w:r>
    </w:p>
    <w:p>
      <w:pPr>
        <w:pStyle w:val="BodyText"/>
        <w:spacing w:before="15"/>
        <w:rPr>
          <w:sz w:val="20"/>
        </w:rPr>
      </w:pPr>
    </w:p>
    <w:p>
      <w:pPr>
        <w:spacing w:before="0"/>
        <w:ind w:left="766" w:right="0" w:firstLine="0"/>
        <w:jc w:val="left"/>
        <w:rPr>
          <w:sz w:val="20"/>
        </w:rPr>
      </w:pPr>
      <w:r>
        <w:rPr>
          <w:spacing w:val="-10"/>
          <w:w w:val="105"/>
          <w:sz w:val="20"/>
        </w:rPr>
        <w:t>2</w:t>
      </w:r>
    </w:p>
    <w:p>
      <w:pPr>
        <w:pStyle w:val="BodyText"/>
        <w:spacing w:before="15"/>
        <w:rPr>
          <w:sz w:val="20"/>
        </w:rPr>
      </w:pPr>
    </w:p>
    <w:p>
      <w:pPr>
        <w:spacing w:before="0"/>
        <w:ind w:left="766" w:right="0" w:firstLine="0"/>
        <w:jc w:val="left"/>
        <w:rPr>
          <w:sz w:val="20"/>
        </w:rPr>
      </w:pPr>
      <w:r>
        <w:rPr>
          <w:spacing w:val="-10"/>
          <w:w w:val="105"/>
          <w:sz w:val="20"/>
        </w:rPr>
        <w:t>5</w:t>
      </w:r>
    </w:p>
    <w:p>
      <w:pPr>
        <w:pStyle w:val="BodyText"/>
        <w:spacing w:before="16"/>
        <w:rPr>
          <w:sz w:val="20"/>
        </w:rPr>
      </w:pPr>
    </w:p>
    <w:p>
      <w:pPr>
        <w:spacing w:before="0"/>
        <w:ind w:left="766" w:right="0" w:firstLine="0"/>
        <w:jc w:val="left"/>
        <w:rPr>
          <w:sz w:val="20"/>
        </w:rPr>
      </w:pPr>
      <w:r>
        <w:rPr>
          <w:spacing w:val="-5"/>
          <w:w w:val="105"/>
          <w:sz w:val="20"/>
        </w:rPr>
        <w:t>10</w:t>
      </w:r>
    </w:p>
    <w:p>
      <w:pPr>
        <w:pStyle w:val="BodyText"/>
        <w:spacing w:before="15"/>
        <w:rPr>
          <w:sz w:val="20"/>
        </w:rPr>
      </w:pPr>
    </w:p>
    <w:p>
      <w:pPr>
        <w:spacing w:before="0"/>
        <w:ind w:left="766" w:right="0" w:firstLine="0"/>
        <w:jc w:val="left"/>
        <w:rPr>
          <w:sz w:val="20"/>
        </w:rPr>
      </w:pPr>
      <w:r>
        <w:rPr>
          <w:spacing w:val="-5"/>
          <w:w w:val="105"/>
          <w:sz w:val="20"/>
        </w:rPr>
        <w:t>15</w:t>
      </w:r>
    </w:p>
    <w:p>
      <w:pPr>
        <w:pStyle w:val="BodyText"/>
        <w:spacing w:before="15"/>
        <w:rPr>
          <w:sz w:val="20"/>
        </w:rPr>
      </w:pPr>
    </w:p>
    <w:p>
      <w:pPr>
        <w:spacing w:before="0"/>
        <w:ind w:left="766" w:right="0" w:firstLine="0"/>
        <w:jc w:val="left"/>
        <w:rPr>
          <w:sz w:val="20"/>
        </w:rPr>
      </w:pPr>
      <w:r>
        <w:rPr>
          <w:spacing w:val="-5"/>
          <w:w w:val="105"/>
          <w:sz w:val="20"/>
        </w:rPr>
        <w:t>20</w:t>
      </w:r>
    </w:p>
    <w:p>
      <w:pPr>
        <w:pStyle w:val="BodyText"/>
        <w:spacing w:before="20"/>
        <w:rPr>
          <w:sz w:val="20"/>
        </w:rPr>
      </w:pPr>
    </w:p>
    <w:p>
      <w:pPr>
        <w:spacing w:before="0"/>
        <w:ind w:left="766" w:right="0" w:firstLine="0"/>
        <w:jc w:val="left"/>
        <w:rPr>
          <w:sz w:val="20"/>
        </w:rPr>
      </w:pPr>
      <w:r>
        <w:rPr>
          <w:spacing w:val="-5"/>
          <w:w w:val="105"/>
          <w:sz w:val="20"/>
        </w:rPr>
        <w:t>40</w:t>
      </w:r>
    </w:p>
    <w:p>
      <w:pPr>
        <w:pStyle w:val="BodyText"/>
        <w:spacing w:before="10"/>
        <w:rPr>
          <w:sz w:val="20"/>
        </w:rPr>
      </w:pPr>
    </w:p>
    <w:p>
      <w:pPr>
        <w:spacing w:before="1"/>
        <w:ind w:left="766" w:right="0" w:firstLine="0"/>
        <w:jc w:val="left"/>
        <w:rPr>
          <w:sz w:val="20"/>
        </w:rPr>
      </w:pPr>
      <w:r>
        <w:rPr>
          <w:spacing w:val="-5"/>
          <w:w w:val="105"/>
          <w:sz w:val="20"/>
        </w:rPr>
        <w:t>60</w:t>
      </w:r>
    </w:p>
    <w:p>
      <w:pPr>
        <w:pStyle w:val="BodyText"/>
        <w:spacing w:before="15"/>
        <w:rPr>
          <w:sz w:val="20"/>
        </w:rPr>
      </w:pPr>
    </w:p>
    <w:p>
      <w:pPr>
        <w:spacing w:before="0"/>
        <w:ind w:left="766" w:right="0" w:firstLine="0"/>
        <w:jc w:val="left"/>
        <w:rPr>
          <w:sz w:val="20"/>
        </w:rPr>
      </w:pPr>
      <w:r>
        <w:rPr>
          <w:spacing w:val="-5"/>
          <w:w w:val="105"/>
          <w:sz w:val="20"/>
        </w:rPr>
        <w:t>80</w:t>
      </w:r>
    </w:p>
    <w:p>
      <w:pPr>
        <w:pStyle w:val="BodyText"/>
        <w:spacing w:before="20"/>
        <w:rPr>
          <w:sz w:val="20"/>
        </w:rPr>
      </w:pPr>
    </w:p>
    <w:p>
      <w:pPr>
        <w:spacing w:before="0"/>
        <w:ind w:left="766" w:right="0" w:firstLine="0"/>
        <w:jc w:val="left"/>
        <w:rPr>
          <w:sz w:val="20"/>
        </w:rPr>
      </w:pPr>
      <w:r>
        <w:rPr>
          <w:spacing w:val="-5"/>
          <w:w w:val="105"/>
          <w:sz w:val="20"/>
        </w:rPr>
        <w:t>100</w:t>
      </w:r>
    </w:p>
    <w:p>
      <w:pPr>
        <w:pStyle w:val="BodyText"/>
        <w:spacing w:before="10"/>
        <w:rPr>
          <w:sz w:val="20"/>
        </w:rPr>
      </w:pPr>
    </w:p>
    <w:p>
      <w:pPr>
        <w:spacing w:before="0"/>
        <w:ind w:left="766" w:right="0" w:firstLine="0"/>
        <w:jc w:val="left"/>
        <w:rPr>
          <w:sz w:val="20"/>
        </w:rPr>
      </w:pPr>
      <w:r>
        <w:rPr>
          <w:spacing w:val="-5"/>
          <w:w w:val="105"/>
          <w:sz w:val="20"/>
        </w:rPr>
        <w:t>200</w:t>
      </w:r>
    </w:p>
    <w:p>
      <w:pPr>
        <w:pStyle w:val="BodyText"/>
        <w:spacing w:before="20"/>
        <w:rPr>
          <w:sz w:val="20"/>
        </w:rPr>
      </w:pPr>
    </w:p>
    <w:p>
      <w:pPr>
        <w:spacing w:before="0"/>
        <w:ind w:left="766" w:right="0" w:firstLine="0"/>
        <w:jc w:val="left"/>
        <w:rPr>
          <w:sz w:val="20"/>
        </w:rPr>
      </w:pPr>
      <w:r>
        <w:rPr>
          <w:spacing w:val="-5"/>
          <w:w w:val="105"/>
          <w:sz w:val="20"/>
        </w:rPr>
        <w:t>400</w:t>
      </w:r>
    </w:p>
    <w:p>
      <w:pPr>
        <w:pStyle w:val="BodyText"/>
        <w:spacing w:before="15"/>
        <w:rPr>
          <w:sz w:val="20"/>
        </w:rPr>
      </w:pPr>
    </w:p>
    <w:p>
      <w:pPr>
        <w:spacing w:before="1"/>
        <w:ind w:left="766" w:right="0" w:firstLine="0"/>
        <w:jc w:val="left"/>
        <w:rPr>
          <w:sz w:val="20"/>
        </w:rPr>
      </w:pPr>
      <w:r>
        <w:rPr>
          <w:spacing w:val="-5"/>
          <w:w w:val="105"/>
          <w:sz w:val="20"/>
        </w:rPr>
        <w:t>600</w:t>
      </w:r>
    </w:p>
    <w:p>
      <w:pPr>
        <w:pStyle w:val="BodyText"/>
        <w:spacing w:before="15"/>
        <w:rPr>
          <w:sz w:val="20"/>
        </w:rPr>
      </w:pPr>
    </w:p>
    <w:p>
      <w:pPr>
        <w:spacing w:before="0"/>
        <w:ind w:left="766" w:right="0" w:firstLine="0"/>
        <w:jc w:val="left"/>
        <w:rPr>
          <w:sz w:val="20"/>
        </w:rPr>
      </w:pPr>
      <w:r>
        <w:rPr>
          <w:spacing w:val="-5"/>
          <w:w w:val="105"/>
          <w:sz w:val="20"/>
        </w:rPr>
        <w:t>800</w:t>
      </w:r>
    </w:p>
    <w:p>
      <w:pPr>
        <w:pStyle w:val="BodyText"/>
        <w:spacing w:before="15"/>
        <w:rPr>
          <w:sz w:val="20"/>
        </w:rPr>
      </w:pPr>
    </w:p>
    <w:p>
      <w:pPr>
        <w:spacing w:before="0"/>
        <w:ind w:left="766" w:right="0" w:firstLine="0"/>
        <w:jc w:val="left"/>
        <w:rPr>
          <w:sz w:val="20"/>
        </w:rPr>
      </w:pPr>
      <w:r>
        <w:rPr>
          <w:spacing w:val="-2"/>
          <w:w w:val="105"/>
          <w:sz w:val="20"/>
        </w:rPr>
        <w:t>1,000</w:t>
      </w:r>
    </w:p>
    <w:p>
      <w:pPr>
        <w:spacing w:line="228" w:lineRule="exact" w:before="0"/>
        <w:ind w:left="766" w:right="0" w:firstLine="0"/>
        <w:jc w:val="left"/>
        <w:rPr>
          <w:sz w:val="20"/>
        </w:rPr>
      </w:pPr>
      <w:r>
        <w:rPr/>
        <w:br w:type="column"/>
      </w:r>
      <w:r>
        <w:rPr>
          <w:spacing w:val="-4"/>
          <w:w w:val="105"/>
          <w:sz w:val="20"/>
        </w:rPr>
        <w:t>0.25</w:t>
      </w:r>
    </w:p>
    <w:p>
      <w:pPr>
        <w:pStyle w:val="BodyText"/>
        <w:spacing w:before="20"/>
        <w:rPr>
          <w:sz w:val="20"/>
        </w:rPr>
      </w:pPr>
    </w:p>
    <w:p>
      <w:pPr>
        <w:spacing w:before="0"/>
        <w:ind w:left="766" w:right="0" w:firstLine="0"/>
        <w:jc w:val="left"/>
        <w:rPr>
          <w:sz w:val="20"/>
        </w:rPr>
      </w:pPr>
      <w:r>
        <w:rPr>
          <w:spacing w:val="-4"/>
          <w:w w:val="105"/>
          <w:sz w:val="20"/>
        </w:rPr>
        <w:t>0.32</w:t>
      </w:r>
    </w:p>
    <w:p>
      <w:pPr>
        <w:pStyle w:val="BodyText"/>
        <w:spacing w:before="15"/>
        <w:rPr>
          <w:sz w:val="20"/>
        </w:rPr>
      </w:pPr>
    </w:p>
    <w:p>
      <w:pPr>
        <w:spacing w:before="0"/>
        <w:ind w:left="766" w:right="0" w:firstLine="0"/>
        <w:jc w:val="left"/>
        <w:rPr>
          <w:sz w:val="20"/>
        </w:rPr>
      </w:pPr>
      <w:r>
        <w:rPr>
          <w:spacing w:val="-4"/>
          <w:w w:val="105"/>
          <w:sz w:val="20"/>
        </w:rPr>
        <w:t>0.39</w:t>
      </w:r>
    </w:p>
    <w:p>
      <w:pPr>
        <w:pStyle w:val="BodyText"/>
        <w:spacing w:before="15"/>
        <w:rPr>
          <w:sz w:val="20"/>
        </w:rPr>
      </w:pPr>
    </w:p>
    <w:p>
      <w:pPr>
        <w:spacing w:before="0"/>
        <w:ind w:left="766" w:right="0" w:firstLine="0"/>
        <w:jc w:val="left"/>
        <w:rPr>
          <w:sz w:val="20"/>
        </w:rPr>
      </w:pPr>
      <w:r>
        <w:rPr>
          <w:spacing w:val="-5"/>
          <w:w w:val="105"/>
          <w:sz w:val="20"/>
        </w:rPr>
        <w:t>0.5</w:t>
      </w:r>
    </w:p>
    <w:p>
      <w:pPr>
        <w:pStyle w:val="BodyText"/>
        <w:spacing w:before="15"/>
        <w:rPr>
          <w:sz w:val="20"/>
        </w:rPr>
      </w:pPr>
    </w:p>
    <w:p>
      <w:pPr>
        <w:spacing w:before="0"/>
        <w:ind w:left="766" w:right="0" w:firstLine="0"/>
        <w:jc w:val="left"/>
        <w:rPr>
          <w:sz w:val="20"/>
        </w:rPr>
      </w:pPr>
      <w:r>
        <w:rPr>
          <w:spacing w:val="-10"/>
          <w:w w:val="105"/>
          <w:sz w:val="20"/>
        </w:rPr>
        <w:t>1</w:t>
      </w:r>
    </w:p>
    <w:p>
      <w:pPr>
        <w:pStyle w:val="BodyText"/>
        <w:spacing w:before="16"/>
        <w:rPr>
          <w:sz w:val="20"/>
        </w:rPr>
      </w:pPr>
    </w:p>
    <w:p>
      <w:pPr>
        <w:spacing w:before="0"/>
        <w:ind w:left="766" w:right="0" w:firstLine="0"/>
        <w:jc w:val="left"/>
        <w:rPr>
          <w:sz w:val="20"/>
        </w:rPr>
      </w:pPr>
      <w:r>
        <w:rPr>
          <w:spacing w:val="-5"/>
          <w:w w:val="105"/>
          <w:sz w:val="20"/>
        </w:rPr>
        <w:t>1.8</w:t>
      </w:r>
    </w:p>
    <w:p>
      <w:pPr>
        <w:pStyle w:val="BodyText"/>
        <w:spacing w:before="15"/>
        <w:rPr>
          <w:sz w:val="20"/>
        </w:rPr>
      </w:pPr>
    </w:p>
    <w:p>
      <w:pPr>
        <w:spacing w:before="0"/>
        <w:ind w:left="766" w:right="0" w:firstLine="0"/>
        <w:jc w:val="left"/>
        <w:rPr>
          <w:sz w:val="20"/>
        </w:rPr>
      </w:pPr>
      <w:r>
        <w:rPr>
          <w:spacing w:val="-5"/>
          <w:w w:val="105"/>
          <w:sz w:val="20"/>
        </w:rPr>
        <w:t>2.5</w:t>
      </w:r>
    </w:p>
    <w:p>
      <w:pPr>
        <w:pStyle w:val="BodyText"/>
        <w:spacing w:before="15"/>
        <w:rPr>
          <w:sz w:val="20"/>
        </w:rPr>
      </w:pPr>
    </w:p>
    <w:p>
      <w:pPr>
        <w:spacing w:before="0"/>
        <w:ind w:left="766" w:right="0" w:firstLine="0"/>
        <w:jc w:val="left"/>
        <w:rPr>
          <w:sz w:val="20"/>
        </w:rPr>
      </w:pPr>
      <w:r>
        <w:rPr>
          <w:spacing w:val="-5"/>
          <w:w w:val="105"/>
          <w:sz w:val="20"/>
        </w:rPr>
        <w:t>3.2</w:t>
      </w:r>
    </w:p>
    <w:p>
      <w:pPr>
        <w:pStyle w:val="BodyText"/>
        <w:spacing w:before="20"/>
        <w:rPr>
          <w:sz w:val="20"/>
        </w:rPr>
      </w:pPr>
    </w:p>
    <w:p>
      <w:pPr>
        <w:spacing w:before="0"/>
        <w:ind w:left="766" w:right="0" w:firstLine="0"/>
        <w:jc w:val="left"/>
        <w:rPr>
          <w:sz w:val="20"/>
        </w:rPr>
      </w:pPr>
      <w:r>
        <w:rPr>
          <w:spacing w:val="-5"/>
          <w:w w:val="105"/>
          <w:sz w:val="20"/>
        </w:rPr>
        <w:t>6.1</w:t>
      </w:r>
    </w:p>
    <w:p>
      <w:pPr>
        <w:pStyle w:val="BodyText"/>
        <w:spacing w:before="10"/>
        <w:rPr>
          <w:sz w:val="20"/>
        </w:rPr>
      </w:pPr>
    </w:p>
    <w:p>
      <w:pPr>
        <w:spacing w:before="1"/>
        <w:ind w:left="766" w:right="0" w:firstLine="0"/>
        <w:jc w:val="left"/>
        <w:rPr>
          <w:sz w:val="20"/>
        </w:rPr>
      </w:pPr>
      <w:r>
        <w:rPr>
          <w:spacing w:val="-5"/>
          <w:w w:val="105"/>
          <w:sz w:val="20"/>
        </w:rPr>
        <w:t>8.7</w:t>
      </w:r>
    </w:p>
    <w:p>
      <w:pPr>
        <w:pStyle w:val="BodyText"/>
        <w:spacing w:before="15"/>
        <w:rPr>
          <w:sz w:val="20"/>
        </w:rPr>
      </w:pPr>
    </w:p>
    <w:p>
      <w:pPr>
        <w:spacing w:before="0"/>
        <w:ind w:left="766" w:right="0" w:firstLine="0"/>
        <w:jc w:val="left"/>
        <w:rPr>
          <w:sz w:val="20"/>
        </w:rPr>
      </w:pPr>
      <w:r>
        <w:rPr>
          <w:spacing w:val="-5"/>
          <w:w w:val="105"/>
          <w:sz w:val="20"/>
        </w:rPr>
        <w:t>11</w:t>
      </w:r>
    </w:p>
    <w:p>
      <w:pPr>
        <w:pStyle w:val="BodyText"/>
        <w:spacing w:before="20"/>
        <w:rPr>
          <w:sz w:val="20"/>
        </w:rPr>
      </w:pPr>
    </w:p>
    <w:p>
      <w:pPr>
        <w:spacing w:before="0"/>
        <w:ind w:left="766" w:right="0" w:firstLine="0"/>
        <w:jc w:val="left"/>
        <w:rPr>
          <w:sz w:val="20"/>
        </w:rPr>
      </w:pPr>
      <w:r>
        <w:rPr>
          <w:spacing w:val="-5"/>
          <w:w w:val="105"/>
          <w:sz w:val="20"/>
        </w:rPr>
        <w:t>14</w:t>
      </w:r>
    </w:p>
    <w:p>
      <w:pPr>
        <w:pStyle w:val="BodyText"/>
        <w:spacing w:before="10"/>
        <w:rPr>
          <w:sz w:val="20"/>
        </w:rPr>
      </w:pPr>
    </w:p>
    <w:p>
      <w:pPr>
        <w:spacing w:before="0"/>
        <w:ind w:left="766" w:right="0" w:firstLine="0"/>
        <w:jc w:val="left"/>
        <w:rPr>
          <w:sz w:val="20"/>
        </w:rPr>
      </w:pPr>
      <w:r>
        <w:rPr>
          <w:spacing w:val="-5"/>
          <w:w w:val="105"/>
          <w:sz w:val="20"/>
        </w:rPr>
        <w:t>24</w:t>
      </w:r>
    </w:p>
    <w:p>
      <w:pPr>
        <w:pStyle w:val="BodyText"/>
        <w:spacing w:before="20"/>
        <w:rPr>
          <w:sz w:val="20"/>
        </w:rPr>
      </w:pPr>
    </w:p>
    <w:p>
      <w:pPr>
        <w:spacing w:before="0"/>
        <w:ind w:left="766" w:right="0" w:firstLine="0"/>
        <w:jc w:val="left"/>
        <w:rPr>
          <w:sz w:val="20"/>
        </w:rPr>
      </w:pPr>
      <w:r>
        <w:rPr>
          <w:spacing w:val="-5"/>
          <w:w w:val="105"/>
          <w:sz w:val="20"/>
        </w:rPr>
        <w:t>38</w:t>
      </w:r>
    </w:p>
    <w:p>
      <w:pPr>
        <w:pStyle w:val="BodyText"/>
        <w:spacing w:before="15"/>
        <w:rPr>
          <w:sz w:val="20"/>
        </w:rPr>
      </w:pPr>
    </w:p>
    <w:p>
      <w:pPr>
        <w:spacing w:before="1"/>
        <w:ind w:left="766" w:right="0" w:firstLine="0"/>
        <w:jc w:val="left"/>
        <w:rPr>
          <w:sz w:val="20"/>
        </w:rPr>
      </w:pPr>
      <w:r>
        <w:rPr>
          <w:spacing w:val="-5"/>
          <w:w w:val="105"/>
          <w:sz w:val="20"/>
        </w:rPr>
        <w:t>48</w:t>
      </w:r>
    </w:p>
    <w:p>
      <w:pPr>
        <w:pStyle w:val="BodyText"/>
        <w:spacing w:before="15"/>
        <w:rPr>
          <w:sz w:val="20"/>
        </w:rPr>
      </w:pPr>
    </w:p>
    <w:p>
      <w:pPr>
        <w:spacing w:before="0"/>
        <w:ind w:left="766" w:right="0" w:firstLine="0"/>
        <w:jc w:val="left"/>
        <w:rPr>
          <w:sz w:val="20"/>
        </w:rPr>
      </w:pPr>
      <w:r>
        <w:rPr>
          <w:spacing w:val="-5"/>
          <w:w w:val="105"/>
          <w:sz w:val="20"/>
        </w:rPr>
        <w:t>56</w:t>
      </w:r>
    </w:p>
    <w:p>
      <w:pPr>
        <w:pStyle w:val="BodyText"/>
        <w:spacing w:before="15"/>
        <w:rPr>
          <w:sz w:val="20"/>
        </w:rPr>
      </w:pPr>
    </w:p>
    <w:p>
      <w:pPr>
        <w:spacing w:before="0"/>
        <w:ind w:left="766" w:right="0" w:firstLine="0"/>
        <w:jc w:val="left"/>
        <w:rPr>
          <w:sz w:val="20"/>
        </w:rPr>
      </w:pPr>
      <w:r>
        <w:rPr>
          <w:spacing w:val="-5"/>
          <w:w w:val="105"/>
          <w:sz w:val="20"/>
        </w:rPr>
        <w:t>61</w:t>
      </w:r>
    </w:p>
    <w:p>
      <w:pPr>
        <w:spacing w:after="0"/>
        <w:jc w:val="left"/>
        <w:rPr>
          <w:sz w:val="20"/>
        </w:rPr>
        <w:sectPr>
          <w:type w:val="continuous"/>
          <w:pgSz w:w="12240" w:h="15840"/>
          <w:pgMar w:header="0" w:footer="916" w:top="1260" w:bottom="280" w:left="1720" w:right="960"/>
          <w:cols w:num="2" w:equalWidth="0">
            <w:col w:w="1275" w:space="2992"/>
            <w:col w:w="5293"/>
          </w:cols>
        </w:sectPr>
      </w:pPr>
    </w:p>
    <w:p>
      <w:pPr>
        <w:pStyle w:val="BodyText"/>
        <w:rPr>
          <w:sz w:val="20"/>
        </w:rPr>
      </w:pPr>
    </w:p>
    <w:p>
      <w:pPr>
        <w:pStyle w:val="BodyText"/>
        <w:rPr>
          <w:sz w:val="20"/>
        </w:rPr>
      </w:pPr>
    </w:p>
    <w:p>
      <w:pPr>
        <w:pStyle w:val="BodyText"/>
        <w:spacing w:before="35"/>
        <w:rPr>
          <w:sz w:val="20"/>
        </w:rPr>
      </w:pPr>
    </w:p>
    <w:p>
      <w:pPr>
        <w:pStyle w:val="BodyText"/>
        <w:spacing w:line="20" w:lineRule="exact"/>
        <w:ind w:left="550"/>
        <w:rPr>
          <w:sz w:val="2"/>
        </w:rPr>
      </w:pPr>
      <w:r>
        <w:rPr>
          <w:sz w:val="2"/>
        </w:rPr>
        <mc:AlternateContent>
          <mc:Choice Requires="wps">
            <w:drawing>
              <wp:inline distT="0" distB="0" distL="0" distR="0">
                <wp:extent cx="5215255" cy="6350"/>
                <wp:effectExtent l="0" t="0" r="0" b="0"/>
                <wp:docPr id="187" name="Group 187"/>
                <wp:cNvGraphicFramePr>
                  <a:graphicFrameLocks/>
                </wp:cNvGraphicFramePr>
                <a:graphic>
                  <a:graphicData uri="http://schemas.microsoft.com/office/word/2010/wordprocessingGroup">
                    <wpg:wgp>
                      <wpg:cNvPr id="187" name="Group 187"/>
                      <wpg:cNvGrpSpPr/>
                      <wpg:grpSpPr>
                        <a:xfrm>
                          <a:off x="0" y="0"/>
                          <a:ext cx="5215255" cy="6350"/>
                          <a:chExt cx="5215255" cy="6350"/>
                        </a:xfrm>
                      </wpg:grpSpPr>
                      <wps:wsp>
                        <wps:cNvPr id="188" name="Graphic 188"/>
                        <wps:cNvSpPr/>
                        <wps:spPr>
                          <a:xfrm>
                            <a:off x="0" y="12"/>
                            <a:ext cx="5215255" cy="6350"/>
                          </a:xfrm>
                          <a:custGeom>
                            <a:avLst/>
                            <a:gdLst/>
                            <a:ahLst/>
                            <a:cxnLst/>
                            <a:rect l="l" t="t" r="r" b="b"/>
                            <a:pathLst>
                              <a:path w="5215255" h="6350">
                                <a:moveTo>
                                  <a:pt x="5215128" y="0"/>
                                </a:moveTo>
                                <a:lnTo>
                                  <a:pt x="2718816" y="0"/>
                                </a:lnTo>
                                <a:lnTo>
                                  <a:pt x="2715768" y="0"/>
                                </a:lnTo>
                                <a:lnTo>
                                  <a:pt x="2709672" y="0"/>
                                </a:lnTo>
                                <a:lnTo>
                                  <a:pt x="0" y="0"/>
                                </a:lnTo>
                                <a:lnTo>
                                  <a:pt x="0" y="6083"/>
                                </a:lnTo>
                                <a:lnTo>
                                  <a:pt x="2709672" y="6083"/>
                                </a:lnTo>
                                <a:lnTo>
                                  <a:pt x="2715768" y="6083"/>
                                </a:lnTo>
                                <a:lnTo>
                                  <a:pt x="2718816" y="6083"/>
                                </a:lnTo>
                                <a:lnTo>
                                  <a:pt x="5215128" y="6083"/>
                                </a:lnTo>
                                <a:lnTo>
                                  <a:pt x="521512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10.65pt;height:.5pt;mso-position-horizontal-relative:char;mso-position-vertical-relative:line" id="docshapegroup170" coordorigin="0,0" coordsize="8213,10">
                <v:shape style="position:absolute;left:0;top:0;width:8213;height:10" id="docshape171" coordorigin="0,0" coordsize="8213,10" path="m8213,0l4282,0,4277,0,4267,0,0,0,0,10,4267,10,4277,10,4282,10,8213,10,8213,0xe" filled="true" fillcolor="#000000" stroked="false">
                  <v:path arrowok="t"/>
                  <v:fill type="solid"/>
                </v:shape>
              </v:group>
            </w:pict>
          </mc:Fallback>
        </mc:AlternateContent>
      </w:r>
      <w:r>
        <w:rPr>
          <w:sz w:val="2"/>
        </w:rPr>
      </w:r>
    </w:p>
    <w:sectPr>
      <w:type w:val="continuous"/>
      <w:pgSz w:w="12240" w:h="15840"/>
      <w:pgMar w:header="0" w:footer="916" w:top="1260" w:bottom="280" w:left="1720" w:right="9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Calibri">
    <w:altName w:val="Calibri"/>
    <w:charset w:val="1"/>
    <w:family w:val="roman"/>
    <w:pitch w:val="variable"/>
  </w:font>
  <w:font w:name="Arial MT">
    <w:altName w:val="Arial MT"/>
    <w:charset w:val="1"/>
    <w:family w:val="swiss"/>
    <w:pitch w:val="variable"/>
  </w:font>
  <w:font w:name="Lucida Sans Unicode">
    <w:altName w:val="Lucida Sans Unicode"/>
    <w:charset w:val="1"/>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110720">
              <wp:simplePos x="0" y="0"/>
              <wp:positionH relativeFrom="page">
                <wp:posOffset>3838955</wp:posOffset>
              </wp:positionH>
              <wp:positionV relativeFrom="page">
                <wp:posOffset>9337253</wp:posOffset>
              </wp:positionV>
              <wp:extent cx="439420" cy="157480"/>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439420" cy="157480"/>
                      </a:xfrm>
                      <a:prstGeom prst="rect">
                        <a:avLst/>
                      </a:prstGeom>
                    </wps:spPr>
                    <wps:txbx>
                      <w:txbxContent>
                        <w:p>
                          <w:pPr>
                            <w:spacing w:line="229" w:lineRule="exact" w:before="0"/>
                            <w:ind w:left="60" w:right="0" w:firstLine="0"/>
                            <w:jc w:val="left"/>
                            <w:rPr>
                              <w:rFonts w:ascii="Calibri"/>
                              <w:sz w:val="20"/>
                            </w:rPr>
                          </w:pPr>
                          <w:r>
                            <w:rPr>
                              <w:rFonts w:ascii="Calibri"/>
                              <w:spacing w:val="-2"/>
                              <w:w w:val="105"/>
                              <w:sz w:val="20"/>
                            </w:rPr>
                            <w:fldChar w:fldCharType="begin"/>
                          </w:r>
                          <w:r>
                            <w:rPr>
                              <w:rFonts w:ascii="Calibri"/>
                              <w:spacing w:val="-2"/>
                              <w:w w:val="105"/>
                              <w:sz w:val="20"/>
                            </w:rPr>
                            <w:instrText> PAGE  \* roman </w:instrText>
                          </w:r>
                          <w:r>
                            <w:rPr>
                              <w:rFonts w:ascii="Calibri"/>
                              <w:spacing w:val="-2"/>
                              <w:w w:val="105"/>
                              <w:sz w:val="20"/>
                            </w:rPr>
                            <w:fldChar w:fldCharType="separate"/>
                          </w:r>
                          <w:r>
                            <w:rPr>
                              <w:rFonts w:ascii="Calibri"/>
                              <w:spacing w:val="-2"/>
                              <w:w w:val="105"/>
                              <w:sz w:val="20"/>
                            </w:rPr>
                            <w:t>lxxxviii</w:t>
                          </w:r>
                          <w:r>
                            <w:rPr>
                              <w:rFonts w:ascii="Calibri"/>
                              <w:spacing w:val="-2"/>
                              <w:w w:val="105"/>
                              <w:sz w:val="20"/>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02.279999pt;margin-top:735.216797pt;width:34.6pt;height:12.4pt;mso-position-horizontal-relative:page;mso-position-vertical-relative:page;z-index:-17205760" type="#_x0000_t202" id="docshape1" filled="false" stroked="false">
              <v:textbox inset="0,0,0,0">
                <w:txbxContent>
                  <w:p>
                    <w:pPr>
                      <w:spacing w:line="229" w:lineRule="exact" w:before="0"/>
                      <w:ind w:left="60" w:right="0" w:firstLine="0"/>
                      <w:jc w:val="left"/>
                      <w:rPr>
                        <w:rFonts w:ascii="Calibri"/>
                        <w:sz w:val="20"/>
                      </w:rPr>
                    </w:pPr>
                    <w:r>
                      <w:rPr>
                        <w:rFonts w:ascii="Calibri"/>
                        <w:spacing w:val="-2"/>
                        <w:w w:val="105"/>
                        <w:sz w:val="20"/>
                      </w:rPr>
                      <w:fldChar w:fldCharType="begin"/>
                    </w:r>
                    <w:r>
                      <w:rPr>
                        <w:rFonts w:ascii="Calibri"/>
                        <w:spacing w:val="-2"/>
                        <w:w w:val="105"/>
                        <w:sz w:val="20"/>
                      </w:rPr>
                      <w:instrText> PAGE  \* roman </w:instrText>
                    </w:r>
                    <w:r>
                      <w:rPr>
                        <w:rFonts w:ascii="Calibri"/>
                        <w:spacing w:val="-2"/>
                        <w:w w:val="105"/>
                        <w:sz w:val="20"/>
                      </w:rPr>
                      <w:fldChar w:fldCharType="separate"/>
                    </w:r>
                    <w:r>
                      <w:rPr>
                        <w:rFonts w:ascii="Calibri"/>
                        <w:spacing w:val="-2"/>
                        <w:w w:val="105"/>
                        <w:sz w:val="20"/>
                      </w:rPr>
                      <w:t>lxxxviii</w:t>
                    </w:r>
                    <w:r>
                      <w:rPr>
                        <w:rFonts w:ascii="Calibri"/>
                        <w:spacing w:val="-2"/>
                        <w:w w:val="105"/>
                        <w:sz w:val="20"/>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7">
    <w:multiLevelType w:val="hybridMultilevel"/>
    <w:lvl w:ilvl="0">
      <w:start w:val="6"/>
      <w:numFmt w:val="decimal"/>
      <w:lvlText w:val="%1"/>
      <w:lvlJc w:val="left"/>
      <w:pPr>
        <w:ind w:left="1006" w:hanging="341"/>
        <w:jc w:val="left"/>
      </w:pPr>
      <w:rPr>
        <w:rFonts w:hint="default"/>
        <w:lang w:val="en-US" w:eastAsia="en-US" w:bidi="ar-SA"/>
      </w:rPr>
    </w:lvl>
    <w:lvl w:ilvl="1">
      <w:start w:val="1"/>
      <w:numFmt w:val="decimal"/>
      <w:lvlText w:val="%1.%2"/>
      <w:lvlJc w:val="left"/>
      <w:pPr>
        <w:ind w:left="1006" w:hanging="341"/>
        <w:jc w:val="left"/>
      </w:pPr>
      <w:rPr>
        <w:rFonts w:hint="default" w:ascii="Times New Roman" w:hAnsi="Times New Roman" w:eastAsia="Times New Roman" w:cs="Times New Roman"/>
        <w:b/>
        <w:bCs/>
        <w:i w:val="0"/>
        <w:iCs w:val="0"/>
        <w:spacing w:val="-4"/>
        <w:w w:val="102"/>
        <w:sz w:val="22"/>
        <w:szCs w:val="22"/>
        <w:lang w:val="en-US" w:eastAsia="en-US" w:bidi="ar-SA"/>
      </w:rPr>
    </w:lvl>
    <w:lvl w:ilvl="2">
      <w:start w:val="1"/>
      <w:numFmt w:val="decimal"/>
      <w:lvlText w:val="%3."/>
      <w:lvlJc w:val="left"/>
      <w:pPr>
        <w:ind w:left="1342" w:hanging="336"/>
        <w:jc w:val="left"/>
      </w:pPr>
      <w:rPr>
        <w:rFonts w:hint="default" w:ascii="Times New Roman" w:hAnsi="Times New Roman" w:eastAsia="Times New Roman" w:cs="Times New Roman"/>
        <w:b w:val="0"/>
        <w:bCs w:val="0"/>
        <w:i w:val="0"/>
        <w:iCs w:val="0"/>
        <w:spacing w:val="-3"/>
        <w:w w:val="102"/>
        <w:sz w:val="22"/>
        <w:szCs w:val="22"/>
        <w:lang w:val="en-US" w:eastAsia="en-US" w:bidi="ar-SA"/>
      </w:rPr>
    </w:lvl>
    <w:lvl w:ilvl="3">
      <w:start w:val="0"/>
      <w:numFmt w:val="bullet"/>
      <w:lvlText w:val="•"/>
      <w:lvlJc w:val="left"/>
      <w:pPr>
        <w:ind w:left="3166" w:hanging="336"/>
      </w:pPr>
      <w:rPr>
        <w:rFonts w:hint="default"/>
        <w:lang w:val="en-US" w:eastAsia="en-US" w:bidi="ar-SA"/>
      </w:rPr>
    </w:lvl>
    <w:lvl w:ilvl="4">
      <w:start w:val="0"/>
      <w:numFmt w:val="bullet"/>
      <w:lvlText w:val="•"/>
      <w:lvlJc w:val="left"/>
      <w:pPr>
        <w:ind w:left="4080" w:hanging="336"/>
      </w:pPr>
      <w:rPr>
        <w:rFonts w:hint="default"/>
        <w:lang w:val="en-US" w:eastAsia="en-US" w:bidi="ar-SA"/>
      </w:rPr>
    </w:lvl>
    <w:lvl w:ilvl="5">
      <w:start w:val="0"/>
      <w:numFmt w:val="bullet"/>
      <w:lvlText w:val="•"/>
      <w:lvlJc w:val="left"/>
      <w:pPr>
        <w:ind w:left="4993" w:hanging="336"/>
      </w:pPr>
      <w:rPr>
        <w:rFonts w:hint="default"/>
        <w:lang w:val="en-US" w:eastAsia="en-US" w:bidi="ar-SA"/>
      </w:rPr>
    </w:lvl>
    <w:lvl w:ilvl="6">
      <w:start w:val="0"/>
      <w:numFmt w:val="bullet"/>
      <w:lvlText w:val="•"/>
      <w:lvlJc w:val="left"/>
      <w:pPr>
        <w:ind w:left="5906" w:hanging="336"/>
      </w:pPr>
      <w:rPr>
        <w:rFonts w:hint="default"/>
        <w:lang w:val="en-US" w:eastAsia="en-US" w:bidi="ar-SA"/>
      </w:rPr>
    </w:lvl>
    <w:lvl w:ilvl="7">
      <w:start w:val="0"/>
      <w:numFmt w:val="bullet"/>
      <w:lvlText w:val="•"/>
      <w:lvlJc w:val="left"/>
      <w:pPr>
        <w:ind w:left="6820" w:hanging="336"/>
      </w:pPr>
      <w:rPr>
        <w:rFonts w:hint="default"/>
        <w:lang w:val="en-US" w:eastAsia="en-US" w:bidi="ar-SA"/>
      </w:rPr>
    </w:lvl>
    <w:lvl w:ilvl="8">
      <w:start w:val="0"/>
      <w:numFmt w:val="bullet"/>
      <w:lvlText w:val="•"/>
      <w:lvlJc w:val="left"/>
      <w:pPr>
        <w:ind w:left="7733" w:hanging="336"/>
      </w:pPr>
      <w:rPr>
        <w:rFonts w:hint="default"/>
        <w:lang w:val="en-US" w:eastAsia="en-US" w:bidi="ar-SA"/>
      </w:rPr>
    </w:lvl>
  </w:abstractNum>
  <w:abstractNum w:abstractNumId="26">
    <w:multiLevelType w:val="hybridMultilevel"/>
    <w:lvl w:ilvl="0">
      <w:start w:val="5"/>
      <w:numFmt w:val="decimal"/>
      <w:lvlText w:val="%1"/>
      <w:lvlJc w:val="left"/>
      <w:pPr>
        <w:ind w:left="1011" w:hanging="346"/>
        <w:jc w:val="left"/>
      </w:pPr>
      <w:rPr>
        <w:rFonts w:hint="default"/>
        <w:lang w:val="en-US" w:eastAsia="en-US" w:bidi="ar-SA"/>
      </w:rPr>
    </w:lvl>
    <w:lvl w:ilvl="1">
      <w:start w:val="0"/>
      <w:numFmt w:val="decimal"/>
      <w:lvlText w:val="%1.%2"/>
      <w:lvlJc w:val="left"/>
      <w:pPr>
        <w:ind w:left="1011" w:hanging="346"/>
        <w:jc w:val="left"/>
      </w:pPr>
      <w:rPr>
        <w:rFonts w:hint="default" w:ascii="Times New Roman" w:hAnsi="Times New Roman" w:eastAsia="Times New Roman" w:cs="Times New Roman"/>
        <w:b/>
        <w:bCs/>
        <w:i w:val="0"/>
        <w:iCs w:val="0"/>
        <w:spacing w:val="-4"/>
        <w:w w:val="102"/>
        <w:sz w:val="22"/>
        <w:szCs w:val="22"/>
        <w:lang w:val="en-US" w:eastAsia="en-US" w:bidi="ar-SA"/>
      </w:rPr>
    </w:lvl>
    <w:lvl w:ilvl="2">
      <w:start w:val="1"/>
      <w:numFmt w:val="decimal"/>
      <w:lvlText w:val="%1.%2.%3"/>
      <w:lvlJc w:val="left"/>
      <w:pPr>
        <w:ind w:left="1174" w:hanging="509"/>
        <w:jc w:val="left"/>
      </w:pPr>
      <w:rPr>
        <w:rFonts w:hint="default" w:ascii="Times New Roman" w:hAnsi="Times New Roman" w:eastAsia="Times New Roman" w:cs="Times New Roman"/>
        <w:b/>
        <w:bCs/>
        <w:i w:val="0"/>
        <w:iCs w:val="0"/>
        <w:spacing w:val="-4"/>
        <w:w w:val="102"/>
        <w:sz w:val="22"/>
        <w:szCs w:val="22"/>
        <w:lang w:val="en-US" w:eastAsia="en-US" w:bidi="ar-SA"/>
      </w:rPr>
    </w:lvl>
    <w:lvl w:ilvl="3">
      <w:start w:val="0"/>
      <w:numFmt w:val="bullet"/>
      <w:lvlText w:val="•"/>
      <w:lvlJc w:val="left"/>
      <w:pPr>
        <w:ind w:left="3042" w:hanging="509"/>
      </w:pPr>
      <w:rPr>
        <w:rFonts w:hint="default"/>
        <w:lang w:val="en-US" w:eastAsia="en-US" w:bidi="ar-SA"/>
      </w:rPr>
    </w:lvl>
    <w:lvl w:ilvl="4">
      <w:start w:val="0"/>
      <w:numFmt w:val="bullet"/>
      <w:lvlText w:val="•"/>
      <w:lvlJc w:val="left"/>
      <w:pPr>
        <w:ind w:left="3973" w:hanging="509"/>
      </w:pPr>
      <w:rPr>
        <w:rFonts w:hint="default"/>
        <w:lang w:val="en-US" w:eastAsia="en-US" w:bidi="ar-SA"/>
      </w:rPr>
    </w:lvl>
    <w:lvl w:ilvl="5">
      <w:start w:val="0"/>
      <w:numFmt w:val="bullet"/>
      <w:lvlText w:val="•"/>
      <w:lvlJc w:val="left"/>
      <w:pPr>
        <w:ind w:left="4904" w:hanging="509"/>
      </w:pPr>
      <w:rPr>
        <w:rFonts w:hint="default"/>
        <w:lang w:val="en-US" w:eastAsia="en-US" w:bidi="ar-SA"/>
      </w:rPr>
    </w:lvl>
    <w:lvl w:ilvl="6">
      <w:start w:val="0"/>
      <w:numFmt w:val="bullet"/>
      <w:lvlText w:val="•"/>
      <w:lvlJc w:val="left"/>
      <w:pPr>
        <w:ind w:left="5835" w:hanging="509"/>
      </w:pPr>
      <w:rPr>
        <w:rFonts w:hint="default"/>
        <w:lang w:val="en-US" w:eastAsia="en-US" w:bidi="ar-SA"/>
      </w:rPr>
    </w:lvl>
    <w:lvl w:ilvl="7">
      <w:start w:val="0"/>
      <w:numFmt w:val="bullet"/>
      <w:lvlText w:val="•"/>
      <w:lvlJc w:val="left"/>
      <w:pPr>
        <w:ind w:left="6766" w:hanging="509"/>
      </w:pPr>
      <w:rPr>
        <w:rFonts w:hint="default"/>
        <w:lang w:val="en-US" w:eastAsia="en-US" w:bidi="ar-SA"/>
      </w:rPr>
    </w:lvl>
    <w:lvl w:ilvl="8">
      <w:start w:val="0"/>
      <w:numFmt w:val="bullet"/>
      <w:lvlText w:val="•"/>
      <w:lvlJc w:val="left"/>
      <w:pPr>
        <w:ind w:left="7697" w:hanging="509"/>
      </w:pPr>
      <w:rPr>
        <w:rFonts w:hint="default"/>
        <w:lang w:val="en-US" w:eastAsia="en-US" w:bidi="ar-SA"/>
      </w:rPr>
    </w:lvl>
  </w:abstractNum>
  <w:abstractNum w:abstractNumId="25">
    <w:multiLevelType w:val="hybridMultilevel"/>
    <w:lvl w:ilvl="0">
      <w:start w:val="4"/>
      <w:numFmt w:val="decimal"/>
      <w:lvlText w:val="%1"/>
      <w:lvlJc w:val="left"/>
      <w:pPr>
        <w:ind w:left="1011" w:hanging="346"/>
        <w:jc w:val="left"/>
      </w:pPr>
      <w:rPr>
        <w:rFonts w:hint="default"/>
        <w:lang w:val="en-US" w:eastAsia="en-US" w:bidi="ar-SA"/>
      </w:rPr>
    </w:lvl>
    <w:lvl w:ilvl="1">
      <w:start w:val="3"/>
      <w:numFmt w:val="decimal"/>
      <w:lvlText w:val="%1.%2"/>
      <w:lvlJc w:val="left"/>
      <w:pPr>
        <w:ind w:left="1011" w:hanging="346"/>
        <w:jc w:val="left"/>
      </w:pPr>
      <w:rPr>
        <w:rFonts w:hint="default" w:ascii="Times New Roman" w:hAnsi="Times New Roman" w:eastAsia="Times New Roman" w:cs="Times New Roman"/>
        <w:b/>
        <w:bCs/>
        <w:i w:val="0"/>
        <w:iCs w:val="0"/>
        <w:spacing w:val="-4"/>
        <w:w w:val="102"/>
        <w:sz w:val="22"/>
        <w:szCs w:val="22"/>
        <w:lang w:val="en-US" w:eastAsia="en-US" w:bidi="ar-SA"/>
      </w:rPr>
    </w:lvl>
    <w:lvl w:ilvl="2">
      <w:start w:val="0"/>
      <w:numFmt w:val="bullet"/>
      <w:lvlText w:val="•"/>
      <w:lvlJc w:val="left"/>
      <w:pPr>
        <w:ind w:left="2728" w:hanging="346"/>
      </w:pPr>
      <w:rPr>
        <w:rFonts w:hint="default"/>
        <w:lang w:val="en-US" w:eastAsia="en-US" w:bidi="ar-SA"/>
      </w:rPr>
    </w:lvl>
    <w:lvl w:ilvl="3">
      <w:start w:val="0"/>
      <w:numFmt w:val="bullet"/>
      <w:lvlText w:val="•"/>
      <w:lvlJc w:val="left"/>
      <w:pPr>
        <w:ind w:left="3582" w:hanging="346"/>
      </w:pPr>
      <w:rPr>
        <w:rFonts w:hint="default"/>
        <w:lang w:val="en-US" w:eastAsia="en-US" w:bidi="ar-SA"/>
      </w:rPr>
    </w:lvl>
    <w:lvl w:ilvl="4">
      <w:start w:val="0"/>
      <w:numFmt w:val="bullet"/>
      <w:lvlText w:val="•"/>
      <w:lvlJc w:val="left"/>
      <w:pPr>
        <w:ind w:left="4436" w:hanging="346"/>
      </w:pPr>
      <w:rPr>
        <w:rFonts w:hint="default"/>
        <w:lang w:val="en-US" w:eastAsia="en-US" w:bidi="ar-SA"/>
      </w:rPr>
    </w:lvl>
    <w:lvl w:ilvl="5">
      <w:start w:val="0"/>
      <w:numFmt w:val="bullet"/>
      <w:lvlText w:val="•"/>
      <w:lvlJc w:val="left"/>
      <w:pPr>
        <w:ind w:left="5290" w:hanging="346"/>
      </w:pPr>
      <w:rPr>
        <w:rFonts w:hint="default"/>
        <w:lang w:val="en-US" w:eastAsia="en-US" w:bidi="ar-SA"/>
      </w:rPr>
    </w:lvl>
    <w:lvl w:ilvl="6">
      <w:start w:val="0"/>
      <w:numFmt w:val="bullet"/>
      <w:lvlText w:val="•"/>
      <w:lvlJc w:val="left"/>
      <w:pPr>
        <w:ind w:left="6144" w:hanging="346"/>
      </w:pPr>
      <w:rPr>
        <w:rFonts w:hint="default"/>
        <w:lang w:val="en-US" w:eastAsia="en-US" w:bidi="ar-SA"/>
      </w:rPr>
    </w:lvl>
    <w:lvl w:ilvl="7">
      <w:start w:val="0"/>
      <w:numFmt w:val="bullet"/>
      <w:lvlText w:val="•"/>
      <w:lvlJc w:val="left"/>
      <w:pPr>
        <w:ind w:left="6998" w:hanging="346"/>
      </w:pPr>
      <w:rPr>
        <w:rFonts w:hint="default"/>
        <w:lang w:val="en-US" w:eastAsia="en-US" w:bidi="ar-SA"/>
      </w:rPr>
    </w:lvl>
    <w:lvl w:ilvl="8">
      <w:start w:val="0"/>
      <w:numFmt w:val="bullet"/>
      <w:lvlText w:val="•"/>
      <w:lvlJc w:val="left"/>
      <w:pPr>
        <w:ind w:left="7852" w:hanging="346"/>
      </w:pPr>
      <w:rPr>
        <w:rFonts w:hint="default"/>
        <w:lang w:val="en-US" w:eastAsia="en-US" w:bidi="ar-SA"/>
      </w:rPr>
    </w:lvl>
  </w:abstractNum>
  <w:abstractNum w:abstractNumId="24">
    <w:multiLevelType w:val="hybridMultilevel"/>
    <w:lvl w:ilvl="0">
      <w:start w:val="4"/>
      <w:numFmt w:val="decimal"/>
      <w:lvlText w:val="%1"/>
      <w:lvlJc w:val="left"/>
      <w:pPr>
        <w:ind w:left="1063" w:hanging="399"/>
        <w:jc w:val="left"/>
      </w:pPr>
      <w:rPr>
        <w:rFonts w:hint="default"/>
        <w:lang w:val="en-US" w:eastAsia="en-US" w:bidi="ar-SA"/>
      </w:rPr>
    </w:lvl>
    <w:lvl w:ilvl="1">
      <w:start w:val="2"/>
      <w:numFmt w:val="decimal"/>
      <w:lvlText w:val="%1.%2."/>
      <w:lvlJc w:val="left"/>
      <w:pPr>
        <w:ind w:left="1063" w:hanging="399"/>
        <w:jc w:val="left"/>
      </w:pPr>
      <w:rPr>
        <w:rFonts w:hint="default" w:ascii="Times New Roman" w:hAnsi="Times New Roman" w:eastAsia="Times New Roman" w:cs="Times New Roman"/>
        <w:b/>
        <w:bCs/>
        <w:i w:val="0"/>
        <w:iCs w:val="0"/>
        <w:spacing w:val="-4"/>
        <w:w w:val="102"/>
        <w:sz w:val="22"/>
        <w:szCs w:val="22"/>
        <w:lang w:val="en-US" w:eastAsia="en-US" w:bidi="ar-SA"/>
      </w:rPr>
    </w:lvl>
    <w:lvl w:ilvl="2">
      <w:start w:val="1"/>
      <w:numFmt w:val="decimal"/>
      <w:lvlText w:val="%1.%2.%3"/>
      <w:lvlJc w:val="left"/>
      <w:pPr>
        <w:ind w:left="1174" w:hanging="509"/>
        <w:jc w:val="left"/>
      </w:pPr>
      <w:rPr>
        <w:rFonts w:hint="default" w:ascii="Times New Roman" w:hAnsi="Times New Roman" w:eastAsia="Times New Roman" w:cs="Times New Roman"/>
        <w:b/>
        <w:bCs/>
        <w:i w:val="0"/>
        <w:iCs w:val="0"/>
        <w:spacing w:val="-4"/>
        <w:w w:val="102"/>
        <w:sz w:val="22"/>
        <w:szCs w:val="22"/>
        <w:lang w:val="en-US" w:eastAsia="en-US" w:bidi="ar-SA"/>
      </w:rPr>
    </w:lvl>
    <w:lvl w:ilvl="3">
      <w:start w:val="0"/>
      <w:numFmt w:val="bullet"/>
      <w:lvlText w:val="•"/>
      <w:lvlJc w:val="left"/>
      <w:pPr>
        <w:ind w:left="3042" w:hanging="509"/>
      </w:pPr>
      <w:rPr>
        <w:rFonts w:hint="default"/>
        <w:lang w:val="en-US" w:eastAsia="en-US" w:bidi="ar-SA"/>
      </w:rPr>
    </w:lvl>
    <w:lvl w:ilvl="4">
      <w:start w:val="0"/>
      <w:numFmt w:val="bullet"/>
      <w:lvlText w:val="•"/>
      <w:lvlJc w:val="left"/>
      <w:pPr>
        <w:ind w:left="3973" w:hanging="509"/>
      </w:pPr>
      <w:rPr>
        <w:rFonts w:hint="default"/>
        <w:lang w:val="en-US" w:eastAsia="en-US" w:bidi="ar-SA"/>
      </w:rPr>
    </w:lvl>
    <w:lvl w:ilvl="5">
      <w:start w:val="0"/>
      <w:numFmt w:val="bullet"/>
      <w:lvlText w:val="•"/>
      <w:lvlJc w:val="left"/>
      <w:pPr>
        <w:ind w:left="4904" w:hanging="509"/>
      </w:pPr>
      <w:rPr>
        <w:rFonts w:hint="default"/>
        <w:lang w:val="en-US" w:eastAsia="en-US" w:bidi="ar-SA"/>
      </w:rPr>
    </w:lvl>
    <w:lvl w:ilvl="6">
      <w:start w:val="0"/>
      <w:numFmt w:val="bullet"/>
      <w:lvlText w:val="•"/>
      <w:lvlJc w:val="left"/>
      <w:pPr>
        <w:ind w:left="5835" w:hanging="509"/>
      </w:pPr>
      <w:rPr>
        <w:rFonts w:hint="default"/>
        <w:lang w:val="en-US" w:eastAsia="en-US" w:bidi="ar-SA"/>
      </w:rPr>
    </w:lvl>
    <w:lvl w:ilvl="7">
      <w:start w:val="0"/>
      <w:numFmt w:val="bullet"/>
      <w:lvlText w:val="•"/>
      <w:lvlJc w:val="left"/>
      <w:pPr>
        <w:ind w:left="6766" w:hanging="509"/>
      </w:pPr>
      <w:rPr>
        <w:rFonts w:hint="default"/>
        <w:lang w:val="en-US" w:eastAsia="en-US" w:bidi="ar-SA"/>
      </w:rPr>
    </w:lvl>
    <w:lvl w:ilvl="8">
      <w:start w:val="0"/>
      <w:numFmt w:val="bullet"/>
      <w:lvlText w:val="•"/>
      <w:lvlJc w:val="left"/>
      <w:pPr>
        <w:ind w:left="7697" w:hanging="509"/>
      </w:pPr>
      <w:rPr>
        <w:rFonts w:hint="default"/>
        <w:lang w:val="en-US" w:eastAsia="en-US" w:bidi="ar-SA"/>
      </w:rPr>
    </w:lvl>
  </w:abstractNum>
  <w:abstractNum w:abstractNumId="23">
    <w:multiLevelType w:val="hybridMultilevel"/>
    <w:lvl w:ilvl="0">
      <w:start w:val="4"/>
      <w:numFmt w:val="decimal"/>
      <w:lvlText w:val="%1"/>
      <w:lvlJc w:val="left"/>
      <w:pPr>
        <w:ind w:left="665" w:hanging="384"/>
        <w:jc w:val="left"/>
      </w:pPr>
      <w:rPr>
        <w:rFonts w:hint="default"/>
        <w:lang w:val="en-US" w:eastAsia="en-US" w:bidi="ar-SA"/>
      </w:rPr>
    </w:lvl>
    <w:lvl w:ilvl="1">
      <w:start w:val="1"/>
      <w:numFmt w:val="decimal"/>
      <w:lvlText w:val="%1.%2"/>
      <w:lvlJc w:val="left"/>
      <w:pPr>
        <w:ind w:left="665" w:hanging="384"/>
        <w:jc w:val="left"/>
      </w:pPr>
      <w:rPr>
        <w:rFonts w:hint="default" w:ascii="Times New Roman" w:hAnsi="Times New Roman" w:eastAsia="Times New Roman" w:cs="Times New Roman"/>
        <w:b/>
        <w:bCs/>
        <w:i w:val="0"/>
        <w:iCs w:val="0"/>
        <w:spacing w:val="-4"/>
        <w:w w:val="102"/>
        <w:sz w:val="22"/>
        <w:szCs w:val="22"/>
        <w:lang w:val="en-US" w:eastAsia="en-US" w:bidi="ar-SA"/>
      </w:rPr>
    </w:lvl>
    <w:lvl w:ilvl="2">
      <w:start w:val="2"/>
      <w:numFmt w:val="decimal"/>
      <w:lvlText w:val="%1.%2.%3"/>
      <w:lvlJc w:val="left"/>
      <w:pPr>
        <w:ind w:left="665" w:hanging="648"/>
        <w:jc w:val="right"/>
      </w:pPr>
      <w:rPr>
        <w:rFonts w:hint="default" w:ascii="Times New Roman" w:hAnsi="Times New Roman" w:eastAsia="Times New Roman" w:cs="Times New Roman"/>
        <w:b/>
        <w:bCs/>
        <w:i w:val="0"/>
        <w:iCs w:val="0"/>
        <w:spacing w:val="-4"/>
        <w:w w:val="102"/>
        <w:sz w:val="22"/>
        <w:szCs w:val="22"/>
        <w:lang w:val="en-US" w:eastAsia="en-US" w:bidi="ar-SA"/>
      </w:rPr>
    </w:lvl>
    <w:lvl w:ilvl="3">
      <w:start w:val="0"/>
      <w:numFmt w:val="bullet"/>
      <w:lvlText w:val="•"/>
      <w:lvlJc w:val="left"/>
      <w:pPr>
        <w:ind w:left="3330" w:hanging="648"/>
      </w:pPr>
      <w:rPr>
        <w:rFonts w:hint="default"/>
        <w:lang w:val="en-US" w:eastAsia="en-US" w:bidi="ar-SA"/>
      </w:rPr>
    </w:lvl>
    <w:lvl w:ilvl="4">
      <w:start w:val="0"/>
      <w:numFmt w:val="bullet"/>
      <w:lvlText w:val="•"/>
      <w:lvlJc w:val="left"/>
      <w:pPr>
        <w:ind w:left="4220" w:hanging="648"/>
      </w:pPr>
      <w:rPr>
        <w:rFonts w:hint="default"/>
        <w:lang w:val="en-US" w:eastAsia="en-US" w:bidi="ar-SA"/>
      </w:rPr>
    </w:lvl>
    <w:lvl w:ilvl="5">
      <w:start w:val="0"/>
      <w:numFmt w:val="bullet"/>
      <w:lvlText w:val="•"/>
      <w:lvlJc w:val="left"/>
      <w:pPr>
        <w:ind w:left="5110" w:hanging="648"/>
      </w:pPr>
      <w:rPr>
        <w:rFonts w:hint="default"/>
        <w:lang w:val="en-US" w:eastAsia="en-US" w:bidi="ar-SA"/>
      </w:rPr>
    </w:lvl>
    <w:lvl w:ilvl="6">
      <w:start w:val="0"/>
      <w:numFmt w:val="bullet"/>
      <w:lvlText w:val="•"/>
      <w:lvlJc w:val="left"/>
      <w:pPr>
        <w:ind w:left="6000" w:hanging="648"/>
      </w:pPr>
      <w:rPr>
        <w:rFonts w:hint="default"/>
        <w:lang w:val="en-US" w:eastAsia="en-US" w:bidi="ar-SA"/>
      </w:rPr>
    </w:lvl>
    <w:lvl w:ilvl="7">
      <w:start w:val="0"/>
      <w:numFmt w:val="bullet"/>
      <w:lvlText w:val="•"/>
      <w:lvlJc w:val="left"/>
      <w:pPr>
        <w:ind w:left="6890" w:hanging="648"/>
      </w:pPr>
      <w:rPr>
        <w:rFonts w:hint="default"/>
        <w:lang w:val="en-US" w:eastAsia="en-US" w:bidi="ar-SA"/>
      </w:rPr>
    </w:lvl>
    <w:lvl w:ilvl="8">
      <w:start w:val="0"/>
      <w:numFmt w:val="bullet"/>
      <w:lvlText w:val="•"/>
      <w:lvlJc w:val="left"/>
      <w:pPr>
        <w:ind w:left="7780" w:hanging="648"/>
      </w:pPr>
      <w:rPr>
        <w:rFonts w:hint="default"/>
        <w:lang w:val="en-US" w:eastAsia="en-US" w:bidi="ar-SA"/>
      </w:rPr>
    </w:lvl>
  </w:abstractNum>
  <w:abstractNum w:abstractNumId="22">
    <w:multiLevelType w:val="hybridMultilevel"/>
    <w:lvl w:ilvl="0">
      <w:start w:val="4"/>
      <w:numFmt w:val="decimal"/>
      <w:lvlText w:val="%1"/>
      <w:lvlJc w:val="left"/>
      <w:pPr>
        <w:ind w:left="1063" w:hanging="398"/>
        <w:jc w:val="left"/>
      </w:pPr>
      <w:rPr>
        <w:rFonts w:hint="default"/>
        <w:lang w:val="en-US" w:eastAsia="en-US" w:bidi="ar-SA"/>
      </w:rPr>
    </w:lvl>
    <w:lvl w:ilvl="1">
      <w:start w:val="0"/>
      <w:numFmt w:val="decimal"/>
      <w:lvlText w:val="%1.%2."/>
      <w:lvlJc w:val="left"/>
      <w:pPr>
        <w:ind w:left="1063" w:hanging="398"/>
        <w:jc w:val="left"/>
      </w:pPr>
      <w:rPr>
        <w:rFonts w:hint="default" w:ascii="Times New Roman" w:hAnsi="Times New Roman" w:eastAsia="Times New Roman" w:cs="Times New Roman"/>
        <w:b/>
        <w:bCs/>
        <w:i w:val="0"/>
        <w:iCs w:val="0"/>
        <w:spacing w:val="-4"/>
        <w:w w:val="102"/>
        <w:sz w:val="22"/>
        <w:szCs w:val="22"/>
        <w:lang w:val="en-US" w:eastAsia="en-US" w:bidi="ar-SA"/>
      </w:rPr>
    </w:lvl>
    <w:lvl w:ilvl="2">
      <w:start w:val="0"/>
      <w:numFmt w:val="bullet"/>
      <w:lvlText w:val="•"/>
      <w:lvlJc w:val="left"/>
      <w:pPr>
        <w:ind w:left="2760" w:hanging="398"/>
      </w:pPr>
      <w:rPr>
        <w:rFonts w:hint="default"/>
        <w:lang w:val="en-US" w:eastAsia="en-US" w:bidi="ar-SA"/>
      </w:rPr>
    </w:lvl>
    <w:lvl w:ilvl="3">
      <w:start w:val="0"/>
      <w:numFmt w:val="bullet"/>
      <w:lvlText w:val="•"/>
      <w:lvlJc w:val="left"/>
      <w:pPr>
        <w:ind w:left="3610" w:hanging="398"/>
      </w:pPr>
      <w:rPr>
        <w:rFonts w:hint="default"/>
        <w:lang w:val="en-US" w:eastAsia="en-US" w:bidi="ar-SA"/>
      </w:rPr>
    </w:lvl>
    <w:lvl w:ilvl="4">
      <w:start w:val="0"/>
      <w:numFmt w:val="bullet"/>
      <w:lvlText w:val="•"/>
      <w:lvlJc w:val="left"/>
      <w:pPr>
        <w:ind w:left="4460" w:hanging="398"/>
      </w:pPr>
      <w:rPr>
        <w:rFonts w:hint="default"/>
        <w:lang w:val="en-US" w:eastAsia="en-US" w:bidi="ar-SA"/>
      </w:rPr>
    </w:lvl>
    <w:lvl w:ilvl="5">
      <w:start w:val="0"/>
      <w:numFmt w:val="bullet"/>
      <w:lvlText w:val="•"/>
      <w:lvlJc w:val="left"/>
      <w:pPr>
        <w:ind w:left="5310" w:hanging="398"/>
      </w:pPr>
      <w:rPr>
        <w:rFonts w:hint="default"/>
        <w:lang w:val="en-US" w:eastAsia="en-US" w:bidi="ar-SA"/>
      </w:rPr>
    </w:lvl>
    <w:lvl w:ilvl="6">
      <w:start w:val="0"/>
      <w:numFmt w:val="bullet"/>
      <w:lvlText w:val="•"/>
      <w:lvlJc w:val="left"/>
      <w:pPr>
        <w:ind w:left="6160" w:hanging="398"/>
      </w:pPr>
      <w:rPr>
        <w:rFonts w:hint="default"/>
        <w:lang w:val="en-US" w:eastAsia="en-US" w:bidi="ar-SA"/>
      </w:rPr>
    </w:lvl>
    <w:lvl w:ilvl="7">
      <w:start w:val="0"/>
      <w:numFmt w:val="bullet"/>
      <w:lvlText w:val="•"/>
      <w:lvlJc w:val="left"/>
      <w:pPr>
        <w:ind w:left="7010" w:hanging="398"/>
      </w:pPr>
      <w:rPr>
        <w:rFonts w:hint="default"/>
        <w:lang w:val="en-US" w:eastAsia="en-US" w:bidi="ar-SA"/>
      </w:rPr>
    </w:lvl>
    <w:lvl w:ilvl="8">
      <w:start w:val="0"/>
      <w:numFmt w:val="bullet"/>
      <w:lvlText w:val="•"/>
      <w:lvlJc w:val="left"/>
      <w:pPr>
        <w:ind w:left="7860" w:hanging="398"/>
      </w:pPr>
      <w:rPr>
        <w:rFonts w:hint="default"/>
        <w:lang w:val="en-US" w:eastAsia="en-US" w:bidi="ar-SA"/>
      </w:rPr>
    </w:lvl>
  </w:abstractNum>
  <w:abstractNum w:abstractNumId="21">
    <w:multiLevelType w:val="hybridMultilevel"/>
    <w:lvl w:ilvl="0">
      <w:start w:val="3"/>
      <w:numFmt w:val="decimal"/>
      <w:lvlText w:val="%1"/>
      <w:lvlJc w:val="left"/>
      <w:pPr>
        <w:ind w:left="4255" w:hanging="341"/>
        <w:jc w:val="left"/>
      </w:pPr>
      <w:rPr>
        <w:rFonts w:hint="default"/>
        <w:lang w:val="en-US" w:eastAsia="en-US" w:bidi="ar-SA"/>
      </w:rPr>
    </w:lvl>
    <w:lvl w:ilvl="1">
      <w:start w:val="2"/>
      <w:numFmt w:val="decimal"/>
      <w:lvlText w:val="%1.%2"/>
      <w:lvlJc w:val="left"/>
      <w:pPr>
        <w:ind w:left="4255" w:hanging="341"/>
        <w:jc w:val="left"/>
      </w:pPr>
      <w:rPr>
        <w:rFonts w:hint="default" w:ascii="Times New Roman" w:hAnsi="Times New Roman" w:eastAsia="Times New Roman" w:cs="Times New Roman"/>
        <w:b/>
        <w:bCs/>
        <w:i w:val="0"/>
        <w:iCs w:val="0"/>
        <w:spacing w:val="-3"/>
        <w:w w:val="102"/>
        <w:sz w:val="22"/>
        <w:szCs w:val="22"/>
        <w:lang w:val="en-US" w:eastAsia="en-US" w:bidi="ar-SA"/>
      </w:rPr>
    </w:lvl>
    <w:lvl w:ilvl="2">
      <w:start w:val="1"/>
      <w:numFmt w:val="decimal"/>
      <w:lvlText w:val="%1.%2.%3"/>
      <w:lvlJc w:val="left"/>
      <w:pPr>
        <w:ind w:left="1174" w:hanging="509"/>
        <w:jc w:val="left"/>
      </w:pPr>
      <w:rPr>
        <w:rFonts w:hint="default" w:ascii="Times New Roman" w:hAnsi="Times New Roman" w:eastAsia="Times New Roman" w:cs="Times New Roman"/>
        <w:b/>
        <w:bCs/>
        <w:i w:val="0"/>
        <w:iCs w:val="0"/>
        <w:spacing w:val="-4"/>
        <w:w w:val="102"/>
        <w:sz w:val="22"/>
        <w:szCs w:val="22"/>
        <w:lang w:val="en-US" w:eastAsia="en-US" w:bidi="ar-SA"/>
      </w:rPr>
    </w:lvl>
    <w:lvl w:ilvl="3">
      <w:start w:val="1"/>
      <w:numFmt w:val="decimal"/>
      <w:lvlText w:val="%1.%2.%3.%4"/>
      <w:lvlJc w:val="left"/>
      <w:pPr>
        <w:ind w:left="1346" w:hanging="682"/>
        <w:jc w:val="left"/>
      </w:pPr>
      <w:rPr>
        <w:rFonts w:hint="default" w:ascii="Times New Roman" w:hAnsi="Times New Roman" w:eastAsia="Times New Roman" w:cs="Times New Roman"/>
        <w:b/>
        <w:bCs/>
        <w:i w:val="0"/>
        <w:iCs w:val="0"/>
        <w:spacing w:val="-4"/>
        <w:w w:val="102"/>
        <w:sz w:val="22"/>
        <w:szCs w:val="22"/>
        <w:lang w:val="en-US" w:eastAsia="en-US" w:bidi="ar-SA"/>
      </w:rPr>
    </w:lvl>
    <w:lvl w:ilvl="4">
      <w:start w:val="0"/>
      <w:numFmt w:val="bullet"/>
      <w:lvlText w:val="•"/>
      <w:lvlJc w:val="left"/>
      <w:pPr>
        <w:ind w:left="5585" w:hanging="682"/>
      </w:pPr>
      <w:rPr>
        <w:rFonts w:hint="default"/>
        <w:lang w:val="en-US" w:eastAsia="en-US" w:bidi="ar-SA"/>
      </w:rPr>
    </w:lvl>
    <w:lvl w:ilvl="5">
      <w:start w:val="0"/>
      <w:numFmt w:val="bullet"/>
      <w:lvlText w:val="•"/>
      <w:lvlJc w:val="left"/>
      <w:pPr>
        <w:ind w:left="6247" w:hanging="682"/>
      </w:pPr>
      <w:rPr>
        <w:rFonts w:hint="default"/>
        <w:lang w:val="en-US" w:eastAsia="en-US" w:bidi="ar-SA"/>
      </w:rPr>
    </w:lvl>
    <w:lvl w:ilvl="6">
      <w:start w:val="0"/>
      <w:numFmt w:val="bullet"/>
      <w:lvlText w:val="•"/>
      <w:lvlJc w:val="left"/>
      <w:pPr>
        <w:ind w:left="6910" w:hanging="682"/>
      </w:pPr>
      <w:rPr>
        <w:rFonts w:hint="default"/>
        <w:lang w:val="en-US" w:eastAsia="en-US" w:bidi="ar-SA"/>
      </w:rPr>
    </w:lvl>
    <w:lvl w:ilvl="7">
      <w:start w:val="0"/>
      <w:numFmt w:val="bullet"/>
      <w:lvlText w:val="•"/>
      <w:lvlJc w:val="left"/>
      <w:pPr>
        <w:ind w:left="7572" w:hanging="682"/>
      </w:pPr>
      <w:rPr>
        <w:rFonts w:hint="default"/>
        <w:lang w:val="en-US" w:eastAsia="en-US" w:bidi="ar-SA"/>
      </w:rPr>
    </w:lvl>
    <w:lvl w:ilvl="8">
      <w:start w:val="0"/>
      <w:numFmt w:val="bullet"/>
      <w:lvlText w:val="•"/>
      <w:lvlJc w:val="left"/>
      <w:pPr>
        <w:ind w:left="8235" w:hanging="682"/>
      </w:pPr>
      <w:rPr>
        <w:rFonts w:hint="default"/>
        <w:lang w:val="en-US" w:eastAsia="en-US" w:bidi="ar-SA"/>
      </w:rPr>
    </w:lvl>
  </w:abstractNum>
  <w:abstractNum w:abstractNumId="20">
    <w:multiLevelType w:val="hybridMultilevel"/>
    <w:lvl w:ilvl="0">
      <w:start w:val="3"/>
      <w:numFmt w:val="decimal"/>
      <w:lvlText w:val="%1"/>
      <w:lvlJc w:val="left"/>
      <w:pPr>
        <w:ind w:left="1174" w:hanging="509"/>
        <w:jc w:val="left"/>
      </w:pPr>
      <w:rPr>
        <w:rFonts w:hint="default"/>
        <w:lang w:val="en-US" w:eastAsia="en-US" w:bidi="ar-SA"/>
      </w:rPr>
    </w:lvl>
    <w:lvl w:ilvl="1">
      <w:start w:val="1"/>
      <w:numFmt w:val="decimal"/>
      <w:lvlText w:val="%1.%2"/>
      <w:lvlJc w:val="left"/>
      <w:pPr>
        <w:ind w:left="1174" w:hanging="509"/>
        <w:jc w:val="left"/>
      </w:pPr>
      <w:rPr>
        <w:rFonts w:hint="default"/>
        <w:lang w:val="en-US" w:eastAsia="en-US" w:bidi="ar-SA"/>
      </w:rPr>
    </w:lvl>
    <w:lvl w:ilvl="2">
      <w:start w:val="1"/>
      <w:numFmt w:val="decimal"/>
      <w:lvlText w:val="%1.%2.%3"/>
      <w:lvlJc w:val="left"/>
      <w:pPr>
        <w:ind w:left="1174" w:hanging="509"/>
        <w:jc w:val="left"/>
      </w:pPr>
      <w:rPr>
        <w:rFonts w:hint="default" w:ascii="Times New Roman" w:hAnsi="Times New Roman" w:eastAsia="Times New Roman" w:cs="Times New Roman"/>
        <w:b/>
        <w:bCs/>
        <w:i w:val="0"/>
        <w:iCs w:val="0"/>
        <w:spacing w:val="-4"/>
        <w:w w:val="102"/>
        <w:sz w:val="22"/>
        <w:szCs w:val="22"/>
        <w:lang w:val="en-US" w:eastAsia="en-US" w:bidi="ar-SA"/>
      </w:rPr>
    </w:lvl>
    <w:lvl w:ilvl="3">
      <w:start w:val="0"/>
      <w:numFmt w:val="bullet"/>
      <w:lvlText w:val="•"/>
      <w:lvlJc w:val="left"/>
      <w:pPr>
        <w:ind w:left="3694" w:hanging="509"/>
      </w:pPr>
      <w:rPr>
        <w:rFonts w:hint="default"/>
        <w:lang w:val="en-US" w:eastAsia="en-US" w:bidi="ar-SA"/>
      </w:rPr>
    </w:lvl>
    <w:lvl w:ilvl="4">
      <w:start w:val="0"/>
      <w:numFmt w:val="bullet"/>
      <w:lvlText w:val="•"/>
      <w:lvlJc w:val="left"/>
      <w:pPr>
        <w:ind w:left="4532" w:hanging="509"/>
      </w:pPr>
      <w:rPr>
        <w:rFonts w:hint="default"/>
        <w:lang w:val="en-US" w:eastAsia="en-US" w:bidi="ar-SA"/>
      </w:rPr>
    </w:lvl>
    <w:lvl w:ilvl="5">
      <w:start w:val="0"/>
      <w:numFmt w:val="bullet"/>
      <w:lvlText w:val="•"/>
      <w:lvlJc w:val="left"/>
      <w:pPr>
        <w:ind w:left="5370" w:hanging="509"/>
      </w:pPr>
      <w:rPr>
        <w:rFonts w:hint="default"/>
        <w:lang w:val="en-US" w:eastAsia="en-US" w:bidi="ar-SA"/>
      </w:rPr>
    </w:lvl>
    <w:lvl w:ilvl="6">
      <w:start w:val="0"/>
      <w:numFmt w:val="bullet"/>
      <w:lvlText w:val="•"/>
      <w:lvlJc w:val="left"/>
      <w:pPr>
        <w:ind w:left="6208" w:hanging="509"/>
      </w:pPr>
      <w:rPr>
        <w:rFonts w:hint="default"/>
        <w:lang w:val="en-US" w:eastAsia="en-US" w:bidi="ar-SA"/>
      </w:rPr>
    </w:lvl>
    <w:lvl w:ilvl="7">
      <w:start w:val="0"/>
      <w:numFmt w:val="bullet"/>
      <w:lvlText w:val="•"/>
      <w:lvlJc w:val="left"/>
      <w:pPr>
        <w:ind w:left="7046" w:hanging="509"/>
      </w:pPr>
      <w:rPr>
        <w:rFonts w:hint="default"/>
        <w:lang w:val="en-US" w:eastAsia="en-US" w:bidi="ar-SA"/>
      </w:rPr>
    </w:lvl>
    <w:lvl w:ilvl="8">
      <w:start w:val="0"/>
      <w:numFmt w:val="bullet"/>
      <w:lvlText w:val="•"/>
      <w:lvlJc w:val="left"/>
      <w:pPr>
        <w:ind w:left="7884" w:hanging="509"/>
      </w:pPr>
      <w:rPr>
        <w:rFonts w:hint="default"/>
        <w:lang w:val="en-US" w:eastAsia="en-US" w:bidi="ar-SA"/>
      </w:rPr>
    </w:lvl>
  </w:abstractNum>
  <w:abstractNum w:abstractNumId="19">
    <w:multiLevelType w:val="hybridMultilevel"/>
    <w:lvl w:ilvl="0">
      <w:start w:val="3"/>
      <w:numFmt w:val="decimal"/>
      <w:lvlText w:val="%1"/>
      <w:lvlJc w:val="left"/>
      <w:pPr>
        <w:ind w:left="1011" w:hanging="346"/>
        <w:jc w:val="left"/>
      </w:pPr>
      <w:rPr>
        <w:rFonts w:hint="default"/>
        <w:lang w:val="en-US" w:eastAsia="en-US" w:bidi="ar-SA"/>
      </w:rPr>
    </w:lvl>
    <w:lvl w:ilvl="1">
      <w:start w:val="0"/>
      <w:numFmt w:val="decimal"/>
      <w:lvlText w:val="%1.%2"/>
      <w:lvlJc w:val="left"/>
      <w:pPr>
        <w:ind w:left="1011" w:hanging="346"/>
        <w:jc w:val="left"/>
      </w:pPr>
      <w:rPr>
        <w:rFonts w:hint="default" w:ascii="Times New Roman" w:hAnsi="Times New Roman" w:eastAsia="Times New Roman" w:cs="Times New Roman"/>
        <w:b/>
        <w:bCs/>
        <w:i w:val="0"/>
        <w:iCs w:val="0"/>
        <w:spacing w:val="-4"/>
        <w:w w:val="102"/>
        <w:sz w:val="22"/>
        <w:szCs w:val="22"/>
        <w:lang w:val="en-US" w:eastAsia="en-US" w:bidi="ar-SA"/>
      </w:rPr>
    </w:lvl>
    <w:lvl w:ilvl="2">
      <w:start w:val="0"/>
      <w:numFmt w:val="bullet"/>
      <w:lvlText w:val="•"/>
      <w:lvlJc w:val="left"/>
      <w:pPr>
        <w:ind w:left="2728" w:hanging="346"/>
      </w:pPr>
      <w:rPr>
        <w:rFonts w:hint="default"/>
        <w:lang w:val="en-US" w:eastAsia="en-US" w:bidi="ar-SA"/>
      </w:rPr>
    </w:lvl>
    <w:lvl w:ilvl="3">
      <w:start w:val="0"/>
      <w:numFmt w:val="bullet"/>
      <w:lvlText w:val="•"/>
      <w:lvlJc w:val="left"/>
      <w:pPr>
        <w:ind w:left="3582" w:hanging="346"/>
      </w:pPr>
      <w:rPr>
        <w:rFonts w:hint="default"/>
        <w:lang w:val="en-US" w:eastAsia="en-US" w:bidi="ar-SA"/>
      </w:rPr>
    </w:lvl>
    <w:lvl w:ilvl="4">
      <w:start w:val="0"/>
      <w:numFmt w:val="bullet"/>
      <w:lvlText w:val="•"/>
      <w:lvlJc w:val="left"/>
      <w:pPr>
        <w:ind w:left="4436" w:hanging="346"/>
      </w:pPr>
      <w:rPr>
        <w:rFonts w:hint="default"/>
        <w:lang w:val="en-US" w:eastAsia="en-US" w:bidi="ar-SA"/>
      </w:rPr>
    </w:lvl>
    <w:lvl w:ilvl="5">
      <w:start w:val="0"/>
      <w:numFmt w:val="bullet"/>
      <w:lvlText w:val="•"/>
      <w:lvlJc w:val="left"/>
      <w:pPr>
        <w:ind w:left="5290" w:hanging="346"/>
      </w:pPr>
      <w:rPr>
        <w:rFonts w:hint="default"/>
        <w:lang w:val="en-US" w:eastAsia="en-US" w:bidi="ar-SA"/>
      </w:rPr>
    </w:lvl>
    <w:lvl w:ilvl="6">
      <w:start w:val="0"/>
      <w:numFmt w:val="bullet"/>
      <w:lvlText w:val="•"/>
      <w:lvlJc w:val="left"/>
      <w:pPr>
        <w:ind w:left="6144" w:hanging="346"/>
      </w:pPr>
      <w:rPr>
        <w:rFonts w:hint="default"/>
        <w:lang w:val="en-US" w:eastAsia="en-US" w:bidi="ar-SA"/>
      </w:rPr>
    </w:lvl>
    <w:lvl w:ilvl="7">
      <w:start w:val="0"/>
      <w:numFmt w:val="bullet"/>
      <w:lvlText w:val="•"/>
      <w:lvlJc w:val="left"/>
      <w:pPr>
        <w:ind w:left="6998" w:hanging="346"/>
      </w:pPr>
      <w:rPr>
        <w:rFonts w:hint="default"/>
        <w:lang w:val="en-US" w:eastAsia="en-US" w:bidi="ar-SA"/>
      </w:rPr>
    </w:lvl>
    <w:lvl w:ilvl="8">
      <w:start w:val="0"/>
      <w:numFmt w:val="bullet"/>
      <w:lvlText w:val="•"/>
      <w:lvlJc w:val="left"/>
      <w:pPr>
        <w:ind w:left="7852" w:hanging="346"/>
      </w:pPr>
      <w:rPr>
        <w:rFonts w:hint="default"/>
        <w:lang w:val="en-US" w:eastAsia="en-US" w:bidi="ar-SA"/>
      </w:rPr>
    </w:lvl>
  </w:abstractNum>
  <w:abstractNum w:abstractNumId="18">
    <w:multiLevelType w:val="hybridMultilevel"/>
    <w:lvl w:ilvl="0">
      <w:start w:val="0"/>
      <w:numFmt w:val="bullet"/>
      <w:lvlText w:val="•"/>
      <w:lvlJc w:val="left"/>
      <w:pPr>
        <w:ind w:left="665" w:hanging="82"/>
      </w:pPr>
      <w:rPr>
        <w:rFonts w:hint="default" w:ascii="Times New Roman" w:hAnsi="Times New Roman" w:eastAsia="Times New Roman" w:cs="Times New Roman"/>
        <w:b w:val="0"/>
        <w:bCs w:val="0"/>
        <w:i w:val="0"/>
        <w:iCs w:val="0"/>
        <w:spacing w:val="2"/>
        <w:w w:val="83"/>
        <w:sz w:val="20"/>
        <w:szCs w:val="20"/>
        <w:lang w:val="en-US" w:eastAsia="en-US" w:bidi="ar-SA"/>
      </w:rPr>
    </w:lvl>
    <w:lvl w:ilvl="1">
      <w:start w:val="0"/>
      <w:numFmt w:val="bullet"/>
      <w:lvlText w:val="•"/>
      <w:lvlJc w:val="left"/>
      <w:pPr>
        <w:ind w:left="1550" w:hanging="82"/>
      </w:pPr>
      <w:rPr>
        <w:rFonts w:hint="default"/>
        <w:lang w:val="en-US" w:eastAsia="en-US" w:bidi="ar-SA"/>
      </w:rPr>
    </w:lvl>
    <w:lvl w:ilvl="2">
      <w:start w:val="0"/>
      <w:numFmt w:val="bullet"/>
      <w:lvlText w:val="•"/>
      <w:lvlJc w:val="left"/>
      <w:pPr>
        <w:ind w:left="2440" w:hanging="82"/>
      </w:pPr>
      <w:rPr>
        <w:rFonts w:hint="default"/>
        <w:lang w:val="en-US" w:eastAsia="en-US" w:bidi="ar-SA"/>
      </w:rPr>
    </w:lvl>
    <w:lvl w:ilvl="3">
      <w:start w:val="0"/>
      <w:numFmt w:val="bullet"/>
      <w:lvlText w:val="•"/>
      <w:lvlJc w:val="left"/>
      <w:pPr>
        <w:ind w:left="3330" w:hanging="82"/>
      </w:pPr>
      <w:rPr>
        <w:rFonts w:hint="default"/>
        <w:lang w:val="en-US" w:eastAsia="en-US" w:bidi="ar-SA"/>
      </w:rPr>
    </w:lvl>
    <w:lvl w:ilvl="4">
      <w:start w:val="0"/>
      <w:numFmt w:val="bullet"/>
      <w:lvlText w:val="•"/>
      <w:lvlJc w:val="left"/>
      <w:pPr>
        <w:ind w:left="4220" w:hanging="82"/>
      </w:pPr>
      <w:rPr>
        <w:rFonts w:hint="default"/>
        <w:lang w:val="en-US" w:eastAsia="en-US" w:bidi="ar-SA"/>
      </w:rPr>
    </w:lvl>
    <w:lvl w:ilvl="5">
      <w:start w:val="0"/>
      <w:numFmt w:val="bullet"/>
      <w:lvlText w:val="•"/>
      <w:lvlJc w:val="left"/>
      <w:pPr>
        <w:ind w:left="5110" w:hanging="82"/>
      </w:pPr>
      <w:rPr>
        <w:rFonts w:hint="default"/>
        <w:lang w:val="en-US" w:eastAsia="en-US" w:bidi="ar-SA"/>
      </w:rPr>
    </w:lvl>
    <w:lvl w:ilvl="6">
      <w:start w:val="0"/>
      <w:numFmt w:val="bullet"/>
      <w:lvlText w:val="•"/>
      <w:lvlJc w:val="left"/>
      <w:pPr>
        <w:ind w:left="6000" w:hanging="82"/>
      </w:pPr>
      <w:rPr>
        <w:rFonts w:hint="default"/>
        <w:lang w:val="en-US" w:eastAsia="en-US" w:bidi="ar-SA"/>
      </w:rPr>
    </w:lvl>
    <w:lvl w:ilvl="7">
      <w:start w:val="0"/>
      <w:numFmt w:val="bullet"/>
      <w:lvlText w:val="•"/>
      <w:lvlJc w:val="left"/>
      <w:pPr>
        <w:ind w:left="6890" w:hanging="82"/>
      </w:pPr>
      <w:rPr>
        <w:rFonts w:hint="default"/>
        <w:lang w:val="en-US" w:eastAsia="en-US" w:bidi="ar-SA"/>
      </w:rPr>
    </w:lvl>
    <w:lvl w:ilvl="8">
      <w:start w:val="0"/>
      <w:numFmt w:val="bullet"/>
      <w:lvlText w:val="•"/>
      <w:lvlJc w:val="left"/>
      <w:pPr>
        <w:ind w:left="7780" w:hanging="82"/>
      </w:pPr>
      <w:rPr>
        <w:rFonts w:hint="default"/>
        <w:lang w:val="en-US" w:eastAsia="en-US" w:bidi="ar-SA"/>
      </w:rPr>
    </w:lvl>
  </w:abstractNum>
  <w:abstractNum w:abstractNumId="17">
    <w:multiLevelType w:val="hybridMultilevel"/>
    <w:lvl w:ilvl="0">
      <w:start w:val="2"/>
      <w:numFmt w:val="decimal"/>
      <w:lvlText w:val="%1"/>
      <w:lvlJc w:val="left"/>
      <w:pPr>
        <w:ind w:left="665" w:hanging="682"/>
        <w:jc w:val="left"/>
      </w:pPr>
      <w:rPr>
        <w:rFonts w:hint="default"/>
        <w:lang w:val="en-US" w:eastAsia="en-US" w:bidi="ar-SA"/>
      </w:rPr>
    </w:lvl>
    <w:lvl w:ilvl="1">
      <w:start w:val="2"/>
      <w:numFmt w:val="decimal"/>
      <w:lvlText w:val="%1.%2"/>
      <w:lvlJc w:val="left"/>
      <w:pPr>
        <w:ind w:left="665" w:hanging="682"/>
        <w:jc w:val="left"/>
      </w:pPr>
      <w:rPr>
        <w:rFonts w:hint="default"/>
        <w:lang w:val="en-US" w:eastAsia="en-US" w:bidi="ar-SA"/>
      </w:rPr>
    </w:lvl>
    <w:lvl w:ilvl="2">
      <w:start w:val="2"/>
      <w:numFmt w:val="decimal"/>
      <w:lvlText w:val="%1.%2.%3"/>
      <w:lvlJc w:val="left"/>
      <w:pPr>
        <w:ind w:left="665" w:hanging="682"/>
        <w:jc w:val="left"/>
      </w:pPr>
      <w:rPr>
        <w:rFonts w:hint="default" w:ascii="Times New Roman" w:hAnsi="Times New Roman" w:eastAsia="Times New Roman" w:cs="Times New Roman"/>
        <w:b/>
        <w:bCs/>
        <w:i w:val="0"/>
        <w:iCs w:val="0"/>
        <w:spacing w:val="-4"/>
        <w:w w:val="102"/>
        <w:sz w:val="22"/>
        <w:szCs w:val="22"/>
        <w:lang w:val="en-US" w:eastAsia="en-US" w:bidi="ar-SA"/>
      </w:rPr>
    </w:lvl>
    <w:lvl w:ilvl="3">
      <w:start w:val="0"/>
      <w:numFmt w:val="bullet"/>
      <w:lvlText w:val="•"/>
      <w:lvlJc w:val="left"/>
      <w:pPr>
        <w:ind w:left="3330" w:hanging="682"/>
      </w:pPr>
      <w:rPr>
        <w:rFonts w:hint="default"/>
        <w:lang w:val="en-US" w:eastAsia="en-US" w:bidi="ar-SA"/>
      </w:rPr>
    </w:lvl>
    <w:lvl w:ilvl="4">
      <w:start w:val="0"/>
      <w:numFmt w:val="bullet"/>
      <w:lvlText w:val="•"/>
      <w:lvlJc w:val="left"/>
      <w:pPr>
        <w:ind w:left="4220" w:hanging="682"/>
      </w:pPr>
      <w:rPr>
        <w:rFonts w:hint="default"/>
        <w:lang w:val="en-US" w:eastAsia="en-US" w:bidi="ar-SA"/>
      </w:rPr>
    </w:lvl>
    <w:lvl w:ilvl="5">
      <w:start w:val="0"/>
      <w:numFmt w:val="bullet"/>
      <w:lvlText w:val="•"/>
      <w:lvlJc w:val="left"/>
      <w:pPr>
        <w:ind w:left="5110" w:hanging="682"/>
      </w:pPr>
      <w:rPr>
        <w:rFonts w:hint="default"/>
        <w:lang w:val="en-US" w:eastAsia="en-US" w:bidi="ar-SA"/>
      </w:rPr>
    </w:lvl>
    <w:lvl w:ilvl="6">
      <w:start w:val="0"/>
      <w:numFmt w:val="bullet"/>
      <w:lvlText w:val="•"/>
      <w:lvlJc w:val="left"/>
      <w:pPr>
        <w:ind w:left="6000" w:hanging="682"/>
      </w:pPr>
      <w:rPr>
        <w:rFonts w:hint="default"/>
        <w:lang w:val="en-US" w:eastAsia="en-US" w:bidi="ar-SA"/>
      </w:rPr>
    </w:lvl>
    <w:lvl w:ilvl="7">
      <w:start w:val="0"/>
      <w:numFmt w:val="bullet"/>
      <w:lvlText w:val="•"/>
      <w:lvlJc w:val="left"/>
      <w:pPr>
        <w:ind w:left="6890" w:hanging="682"/>
      </w:pPr>
      <w:rPr>
        <w:rFonts w:hint="default"/>
        <w:lang w:val="en-US" w:eastAsia="en-US" w:bidi="ar-SA"/>
      </w:rPr>
    </w:lvl>
    <w:lvl w:ilvl="8">
      <w:start w:val="0"/>
      <w:numFmt w:val="bullet"/>
      <w:lvlText w:val="•"/>
      <w:lvlJc w:val="left"/>
      <w:pPr>
        <w:ind w:left="7780" w:hanging="682"/>
      </w:pPr>
      <w:rPr>
        <w:rFonts w:hint="default"/>
        <w:lang w:val="en-US" w:eastAsia="en-US" w:bidi="ar-SA"/>
      </w:rPr>
    </w:lvl>
  </w:abstractNum>
  <w:abstractNum w:abstractNumId="16">
    <w:multiLevelType w:val="hybridMultilevel"/>
    <w:lvl w:ilvl="0">
      <w:start w:val="2"/>
      <w:numFmt w:val="decimal"/>
      <w:lvlText w:val="%1"/>
      <w:lvlJc w:val="left"/>
      <w:pPr>
        <w:ind w:left="1236" w:hanging="571"/>
        <w:jc w:val="left"/>
      </w:pPr>
      <w:rPr>
        <w:rFonts w:hint="default"/>
        <w:lang w:val="en-US" w:eastAsia="en-US" w:bidi="ar-SA"/>
      </w:rPr>
    </w:lvl>
    <w:lvl w:ilvl="1">
      <w:start w:val="2"/>
      <w:numFmt w:val="decimal"/>
      <w:lvlText w:val="%1.%2"/>
      <w:lvlJc w:val="left"/>
      <w:pPr>
        <w:ind w:left="1236" w:hanging="571"/>
        <w:jc w:val="left"/>
      </w:pPr>
      <w:rPr>
        <w:rFonts w:hint="default"/>
        <w:lang w:val="en-US" w:eastAsia="en-US" w:bidi="ar-SA"/>
      </w:rPr>
    </w:lvl>
    <w:lvl w:ilvl="2">
      <w:start w:val="1"/>
      <w:numFmt w:val="decimal"/>
      <w:lvlText w:val="%1.%2.%3."/>
      <w:lvlJc w:val="left"/>
      <w:pPr>
        <w:ind w:left="1236" w:hanging="571"/>
        <w:jc w:val="left"/>
      </w:pPr>
      <w:rPr>
        <w:rFonts w:hint="default" w:ascii="Times New Roman" w:hAnsi="Times New Roman" w:eastAsia="Times New Roman" w:cs="Times New Roman"/>
        <w:b/>
        <w:bCs/>
        <w:i w:val="0"/>
        <w:iCs w:val="0"/>
        <w:spacing w:val="-4"/>
        <w:w w:val="102"/>
        <w:sz w:val="22"/>
        <w:szCs w:val="22"/>
        <w:lang w:val="en-US" w:eastAsia="en-US" w:bidi="ar-SA"/>
      </w:rPr>
    </w:lvl>
    <w:lvl w:ilvl="3">
      <w:start w:val="0"/>
      <w:numFmt w:val="bullet"/>
      <w:lvlText w:val="•"/>
      <w:lvlJc w:val="left"/>
      <w:pPr>
        <w:ind w:left="3736" w:hanging="571"/>
      </w:pPr>
      <w:rPr>
        <w:rFonts w:hint="default"/>
        <w:lang w:val="en-US" w:eastAsia="en-US" w:bidi="ar-SA"/>
      </w:rPr>
    </w:lvl>
    <w:lvl w:ilvl="4">
      <w:start w:val="0"/>
      <w:numFmt w:val="bullet"/>
      <w:lvlText w:val="•"/>
      <w:lvlJc w:val="left"/>
      <w:pPr>
        <w:ind w:left="4568" w:hanging="571"/>
      </w:pPr>
      <w:rPr>
        <w:rFonts w:hint="default"/>
        <w:lang w:val="en-US" w:eastAsia="en-US" w:bidi="ar-SA"/>
      </w:rPr>
    </w:lvl>
    <w:lvl w:ilvl="5">
      <w:start w:val="0"/>
      <w:numFmt w:val="bullet"/>
      <w:lvlText w:val="•"/>
      <w:lvlJc w:val="left"/>
      <w:pPr>
        <w:ind w:left="5400" w:hanging="571"/>
      </w:pPr>
      <w:rPr>
        <w:rFonts w:hint="default"/>
        <w:lang w:val="en-US" w:eastAsia="en-US" w:bidi="ar-SA"/>
      </w:rPr>
    </w:lvl>
    <w:lvl w:ilvl="6">
      <w:start w:val="0"/>
      <w:numFmt w:val="bullet"/>
      <w:lvlText w:val="•"/>
      <w:lvlJc w:val="left"/>
      <w:pPr>
        <w:ind w:left="6232" w:hanging="571"/>
      </w:pPr>
      <w:rPr>
        <w:rFonts w:hint="default"/>
        <w:lang w:val="en-US" w:eastAsia="en-US" w:bidi="ar-SA"/>
      </w:rPr>
    </w:lvl>
    <w:lvl w:ilvl="7">
      <w:start w:val="0"/>
      <w:numFmt w:val="bullet"/>
      <w:lvlText w:val="•"/>
      <w:lvlJc w:val="left"/>
      <w:pPr>
        <w:ind w:left="7064" w:hanging="571"/>
      </w:pPr>
      <w:rPr>
        <w:rFonts w:hint="default"/>
        <w:lang w:val="en-US" w:eastAsia="en-US" w:bidi="ar-SA"/>
      </w:rPr>
    </w:lvl>
    <w:lvl w:ilvl="8">
      <w:start w:val="0"/>
      <w:numFmt w:val="bullet"/>
      <w:lvlText w:val="•"/>
      <w:lvlJc w:val="left"/>
      <w:pPr>
        <w:ind w:left="7896" w:hanging="571"/>
      </w:pPr>
      <w:rPr>
        <w:rFonts w:hint="default"/>
        <w:lang w:val="en-US" w:eastAsia="en-US" w:bidi="ar-SA"/>
      </w:rPr>
    </w:lvl>
  </w:abstractNum>
  <w:abstractNum w:abstractNumId="15">
    <w:multiLevelType w:val="hybridMultilevel"/>
    <w:lvl w:ilvl="0">
      <w:start w:val="2"/>
      <w:numFmt w:val="decimal"/>
      <w:lvlText w:val="%1"/>
      <w:lvlJc w:val="left"/>
      <w:pPr>
        <w:ind w:left="1011" w:hanging="346"/>
        <w:jc w:val="left"/>
      </w:pPr>
      <w:rPr>
        <w:rFonts w:hint="default"/>
        <w:lang w:val="en-US" w:eastAsia="en-US" w:bidi="ar-SA"/>
      </w:rPr>
    </w:lvl>
    <w:lvl w:ilvl="1">
      <w:start w:val="0"/>
      <w:numFmt w:val="decimal"/>
      <w:lvlText w:val="%1.%2"/>
      <w:lvlJc w:val="left"/>
      <w:pPr>
        <w:ind w:left="1011" w:hanging="346"/>
        <w:jc w:val="left"/>
      </w:pPr>
      <w:rPr>
        <w:rFonts w:hint="default"/>
        <w:spacing w:val="-4"/>
        <w:w w:val="102"/>
        <w:lang w:val="en-US" w:eastAsia="en-US" w:bidi="ar-SA"/>
      </w:rPr>
    </w:lvl>
    <w:lvl w:ilvl="2">
      <w:start w:val="1"/>
      <w:numFmt w:val="decimal"/>
      <w:lvlText w:val="%1.%2.%3"/>
      <w:lvlJc w:val="left"/>
      <w:pPr>
        <w:ind w:left="1174" w:hanging="509"/>
        <w:jc w:val="left"/>
      </w:pPr>
      <w:rPr>
        <w:rFonts w:hint="default" w:ascii="Times New Roman" w:hAnsi="Times New Roman" w:eastAsia="Times New Roman" w:cs="Times New Roman"/>
        <w:b/>
        <w:bCs/>
        <w:i w:val="0"/>
        <w:iCs w:val="0"/>
        <w:spacing w:val="-4"/>
        <w:w w:val="102"/>
        <w:sz w:val="22"/>
        <w:szCs w:val="22"/>
        <w:lang w:val="en-US" w:eastAsia="en-US" w:bidi="ar-SA"/>
      </w:rPr>
    </w:lvl>
    <w:lvl w:ilvl="3">
      <w:start w:val="0"/>
      <w:numFmt w:val="bullet"/>
      <w:lvlText w:val="•"/>
      <w:lvlJc w:val="left"/>
      <w:pPr>
        <w:ind w:left="3042" w:hanging="509"/>
      </w:pPr>
      <w:rPr>
        <w:rFonts w:hint="default"/>
        <w:lang w:val="en-US" w:eastAsia="en-US" w:bidi="ar-SA"/>
      </w:rPr>
    </w:lvl>
    <w:lvl w:ilvl="4">
      <w:start w:val="0"/>
      <w:numFmt w:val="bullet"/>
      <w:lvlText w:val="•"/>
      <w:lvlJc w:val="left"/>
      <w:pPr>
        <w:ind w:left="3973" w:hanging="509"/>
      </w:pPr>
      <w:rPr>
        <w:rFonts w:hint="default"/>
        <w:lang w:val="en-US" w:eastAsia="en-US" w:bidi="ar-SA"/>
      </w:rPr>
    </w:lvl>
    <w:lvl w:ilvl="5">
      <w:start w:val="0"/>
      <w:numFmt w:val="bullet"/>
      <w:lvlText w:val="•"/>
      <w:lvlJc w:val="left"/>
      <w:pPr>
        <w:ind w:left="4904" w:hanging="509"/>
      </w:pPr>
      <w:rPr>
        <w:rFonts w:hint="default"/>
        <w:lang w:val="en-US" w:eastAsia="en-US" w:bidi="ar-SA"/>
      </w:rPr>
    </w:lvl>
    <w:lvl w:ilvl="6">
      <w:start w:val="0"/>
      <w:numFmt w:val="bullet"/>
      <w:lvlText w:val="•"/>
      <w:lvlJc w:val="left"/>
      <w:pPr>
        <w:ind w:left="5835" w:hanging="509"/>
      </w:pPr>
      <w:rPr>
        <w:rFonts w:hint="default"/>
        <w:lang w:val="en-US" w:eastAsia="en-US" w:bidi="ar-SA"/>
      </w:rPr>
    </w:lvl>
    <w:lvl w:ilvl="7">
      <w:start w:val="0"/>
      <w:numFmt w:val="bullet"/>
      <w:lvlText w:val="•"/>
      <w:lvlJc w:val="left"/>
      <w:pPr>
        <w:ind w:left="6766" w:hanging="509"/>
      </w:pPr>
      <w:rPr>
        <w:rFonts w:hint="default"/>
        <w:lang w:val="en-US" w:eastAsia="en-US" w:bidi="ar-SA"/>
      </w:rPr>
    </w:lvl>
    <w:lvl w:ilvl="8">
      <w:start w:val="0"/>
      <w:numFmt w:val="bullet"/>
      <w:lvlText w:val="•"/>
      <w:lvlJc w:val="left"/>
      <w:pPr>
        <w:ind w:left="7697" w:hanging="509"/>
      </w:pPr>
      <w:rPr>
        <w:rFonts w:hint="default"/>
        <w:lang w:val="en-US" w:eastAsia="en-US" w:bidi="ar-SA"/>
      </w:rPr>
    </w:lvl>
  </w:abstractNum>
  <w:abstractNum w:abstractNumId="14">
    <w:multiLevelType w:val="hybridMultilevel"/>
    <w:lvl w:ilvl="0">
      <w:start w:val="1"/>
      <w:numFmt w:val="decimal"/>
      <w:lvlText w:val="%1"/>
      <w:lvlJc w:val="left"/>
      <w:pPr>
        <w:ind w:left="1006" w:hanging="341"/>
        <w:jc w:val="left"/>
      </w:pPr>
      <w:rPr>
        <w:rFonts w:hint="default"/>
        <w:lang w:val="en-US" w:eastAsia="en-US" w:bidi="ar-SA"/>
      </w:rPr>
    </w:lvl>
    <w:lvl w:ilvl="1">
      <w:start w:val="0"/>
      <w:numFmt w:val="decimal"/>
      <w:lvlText w:val="%1.%2"/>
      <w:lvlJc w:val="left"/>
      <w:pPr>
        <w:ind w:left="1006" w:hanging="341"/>
        <w:jc w:val="left"/>
      </w:pPr>
      <w:rPr>
        <w:rFonts w:hint="default" w:ascii="Times New Roman" w:hAnsi="Times New Roman" w:eastAsia="Times New Roman" w:cs="Times New Roman"/>
        <w:b/>
        <w:bCs/>
        <w:i w:val="0"/>
        <w:iCs w:val="0"/>
        <w:spacing w:val="-4"/>
        <w:w w:val="102"/>
        <w:sz w:val="22"/>
        <w:szCs w:val="22"/>
        <w:lang w:val="en-US" w:eastAsia="en-US" w:bidi="ar-SA"/>
      </w:rPr>
    </w:lvl>
    <w:lvl w:ilvl="2">
      <w:start w:val="1"/>
      <w:numFmt w:val="decimal"/>
      <w:lvlText w:val="%1.%2.%3"/>
      <w:lvlJc w:val="left"/>
      <w:pPr>
        <w:ind w:left="665" w:hanging="576"/>
        <w:jc w:val="left"/>
      </w:pPr>
      <w:rPr>
        <w:rFonts w:hint="default" w:ascii="Times New Roman" w:hAnsi="Times New Roman" w:eastAsia="Times New Roman" w:cs="Times New Roman"/>
        <w:b/>
        <w:bCs/>
        <w:i w:val="0"/>
        <w:iCs w:val="0"/>
        <w:spacing w:val="-4"/>
        <w:w w:val="102"/>
        <w:sz w:val="22"/>
        <w:szCs w:val="22"/>
        <w:lang w:val="en-US" w:eastAsia="en-US" w:bidi="ar-SA"/>
      </w:rPr>
    </w:lvl>
    <w:lvl w:ilvl="3">
      <w:start w:val="1"/>
      <w:numFmt w:val="lowerRoman"/>
      <w:lvlText w:val="%4."/>
      <w:lvlJc w:val="left"/>
      <w:pPr>
        <w:ind w:left="1342" w:hanging="456"/>
        <w:jc w:val="right"/>
      </w:pPr>
      <w:rPr>
        <w:rFonts w:hint="default" w:ascii="Times New Roman" w:hAnsi="Times New Roman" w:eastAsia="Times New Roman" w:cs="Times New Roman"/>
        <w:b w:val="0"/>
        <w:bCs w:val="0"/>
        <w:i w:val="0"/>
        <w:iCs w:val="0"/>
        <w:spacing w:val="0"/>
        <w:w w:val="102"/>
        <w:sz w:val="22"/>
        <w:szCs w:val="22"/>
        <w:lang w:val="en-US" w:eastAsia="en-US" w:bidi="ar-SA"/>
      </w:rPr>
    </w:lvl>
    <w:lvl w:ilvl="4">
      <w:start w:val="0"/>
      <w:numFmt w:val="bullet"/>
      <w:lvlText w:val="•"/>
      <w:lvlJc w:val="left"/>
      <w:pPr>
        <w:ind w:left="3395" w:hanging="456"/>
      </w:pPr>
      <w:rPr>
        <w:rFonts w:hint="default"/>
        <w:lang w:val="en-US" w:eastAsia="en-US" w:bidi="ar-SA"/>
      </w:rPr>
    </w:lvl>
    <w:lvl w:ilvl="5">
      <w:start w:val="0"/>
      <w:numFmt w:val="bullet"/>
      <w:lvlText w:val="•"/>
      <w:lvlJc w:val="left"/>
      <w:pPr>
        <w:ind w:left="4422" w:hanging="456"/>
      </w:pPr>
      <w:rPr>
        <w:rFonts w:hint="default"/>
        <w:lang w:val="en-US" w:eastAsia="en-US" w:bidi="ar-SA"/>
      </w:rPr>
    </w:lvl>
    <w:lvl w:ilvl="6">
      <w:start w:val="0"/>
      <w:numFmt w:val="bullet"/>
      <w:lvlText w:val="•"/>
      <w:lvlJc w:val="left"/>
      <w:pPr>
        <w:ind w:left="5450" w:hanging="456"/>
      </w:pPr>
      <w:rPr>
        <w:rFonts w:hint="default"/>
        <w:lang w:val="en-US" w:eastAsia="en-US" w:bidi="ar-SA"/>
      </w:rPr>
    </w:lvl>
    <w:lvl w:ilvl="7">
      <w:start w:val="0"/>
      <w:numFmt w:val="bullet"/>
      <w:lvlText w:val="•"/>
      <w:lvlJc w:val="left"/>
      <w:pPr>
        <w:ind w:left="6477" w:hanging="456"/>
      </w:pPr>
      <w:rPr>
        <w:rFonts w:hint="default"/>
        <w:lang w:val="en-US" w:eastAsia="en-US" w:bidi="ar-SA"/>
      </w:rPr>
    </w:lvl>
    <w:lvl w:ilvl="8">
      <w:start w:val="0"/>
      <w:numFmt w:val="bullet"/>
      <w:lvlText w:val="•"/>
      <w:lvlJc w:val="left"/>
      <w:pPr>
        <w:ind w:left="7505" w:hanging="456"/>
      </w:pPr>
      <w:rPr>
        <w:rFonts w:hint="default"/>
        <w:lang w:val="en-US" w:eastAsia="en-US" w:bidi="ar-SA"/>
      </w:rPr>
    </w:lvl>
  </w:abstractNum>
  <w:abstractNum w:abstractNumId="13">
    <w:multiLevelType w:val="hybridMultilevel"/>
    <w:lvl w:ilvl="0">
      <w:start w:val="0"/>
      <w:numFmt w:val="bullet"/>
      <w:lvlText w:val="•"/>
      <w:lvlJc w:val="left"/>
      <w:pPr>
        <w:ind w:left="665" w:hanging="82"/>
      </w:pPr>
      <w:rPr>
        <w:rFonts w:hint="default" w:ascii="Times New Roman" w:hAnsi="Times New Roman" w:eastAsia="Times New Roman" w:cs="Times New Roman"/>
        <w:b w:val="0"/>
        <w:bCs w:val="0"/>
        <w:i w:val="0"/>
        <w:iCs w:val="0"/>
        <w:spacing w:val="2"/>
        <w:w w:val="83"/>
        <w:sz w:val="20"/>
        <w:szCs w:val="20"/>
        <w:lang w:val="en-US" w:eastAsia="en-US" w:bidi="ar-SA"/>
      </w:rPr>
    </w:lvl>
    <w:lvl w:ilvl="1">
      <w:start w:val="0"/>
      <w:numFmt w:val="bullet"/>
      <w:lvlText w:val="•"/>
      <w:lvlJc w:val="left"/>
      <w:pPr>
        <w:ind w:left="1550" w:hanging="82"/>
      </w:pPr>
      <w:rPr>
        <w:rFonts w:hint="default"/>
        <w:lang w:val="en-US" w:eastAsia="en-US" w:bidi="ar-SA"/>
      </w:rPr>
    </w:lvl>
    <w:lvl w:ilvl="2">
      <w:start w:val="0"/>
      <w:numFmt w:val="bullet"/>
      <w:lvlText w:val="•"/>
      <w:lvlJc w:val="left"/>
      <w:pPr>
        <w:ind w:left="2440" w:hanging="82"/>
      </w:pPr>
      <w:rPr>
        <w:rFonts w:hint="default"/>
        <w:lang w:val="en-US" w:eastAsia="en-US" w:bidi="ar-SA"/>
      </w:rPr>
    </w:lvl>
    <w:lvl w:ilvl="3">
      <w:start w:val="0"/>
      <w:numFmt w:val="bullet"/>
      <w:lvlText w:val="•"/>
      <w:lvlJc w:val="left"/>
      <w:pPr>
        <w:ind w:left="3330" w:hanging="82"/>
      </w:pPr>
      <w:rPr>
        <w:rFonts w:hint="default"/>
        <w:lang w:val="en-US" w:eastAsia="en-US" w:bidi="ar-SA"/>
      </w:rPr>
    </w:lvl>
    <w:lvl w:ilvl="4">
      <w:start w:val="0"/>
      <w:numFmt w:val="bullet"/>
      <w:lvlText w:val="•"/>
      <w:lvlJc w:val="left"/>
      <w:pPr>
        <w:ind w:left="4220" w:hanging="82"/>
      </w:pPr>
      <w:rPr>
        <w:rFonts w:hint="default"/>
        <w:lang w:val="en-US" w:eastAsia="en-US" w:bidi="ar-SA"/>
      </w:rPr>
    </w:lvl>
    <w:lvl w:ilvl="5">
      <w:start w:val="0"/>
      <w:numFmt w:val="bullet"/>
      <w:lvlText w:val="•"/>
      <w:lvlJc w:val="left"/>
      <w:pPr>
        <w:ind w:left="5110" w:hanging="82"/>
      </w:pPr>
      <w:rPr>
        <w:rFonts w:hint="default"/>
        <w:lang w:val="en-US" w:eastAsia="en-US" w:bidi="ar-SA"/>
      </w:rPr>
    </w:lvl>
    <w:lvl w:ilvl="6">
      <w:start w:val="0"/>
      <w:numFmt w:val="bullet"/>
      <w:lvlText w:val="•"/>
      <w:lvlJc w:val="left"/>
      <w:pPr>
        <w:ind w:left="6000" w:hanging="82"/>
      </w:pPr>
      <w:rPr>
        <w:rFonts w:hint="default"/>
        <w:lang w:val="en-US" w:eastAsia="en-US" w:bidi="ar-SA"/>
      </w:rPr>
    </w:lvl>
    <w:lvl w:ilvl="7">
      <w:start w:val="0"/>
      <w:numFmt w:val="bullet"/>
      <w:lvlText w:val="•"/>
      <w:lvlJc w:val="left"/>
      <w:pPr>
        <w:ind w:left="6890" w:hanging="82"/>
      </w:pPr>
      <w:rPr>
        <w:rFonts w:hint="default"/>
        <w:lang w:val="en-US" w:eastAsia="en-US" w:bidi="ar-SA"/>
      </w:rPr>
    </w:lvl>
    <w:lvl w:ilvl="8">
      <w:start w:val="0"/>
      <w:numFmt w:val="bullet"/>
      <w:lvlText w:val="•"/>
      <w:lvlJc w:val="left"/>
      <w:pPr>
        <w:ind w:left="7780" w:hanging="82"/>
      </w:pPr>
      <w:rPr>
        <w:rFonts w:hint="default"/>
        <w:lang w:val="en-US" w:eastAsia="en-US" w:bidi="ar-SA"/>
      </w:rPr>
    </w:lvl>
  </w:abstractNum>
  <w:abstractNum w:abstractNumId="12">
    <w:multiLevelType w:val="hybridMultilevel"/>
    <w:lvl w:ilvl="0">
      <w:start w:val="6"/>
      <w:numFmt w:val="decimal"/>
      <w:lvlText w:val="%1"/>
      <w:lvlJc w:val="left"/>
      <w:pPr>
        <w:ind w:left="1011" w:hanging="346"/>
        <w:jc w:val="left"/>
      </w:pPr>
      <w:rPr>
        <w:rFonts w:hint="default"/>
        <w:lang w:val="en-US" w:eastAsia="en-US" w:bidi="ar-SA"/>
      </w:rPr>
    </w:lvl>
    <w:lvl w:ilvl="1">
      <w:start w:val="1"/>
      <w:numFmt w:val="decimal"/>
      <w:lvlText w:val="%1.%2"/>
      <w:lvlJc w:val="left"/>
      <w:pPr>
        <w:ind w:left="1011" w:hanging="346"/>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2">
      <w:start w:val="0"/>
      <w:numFmt w:val="bullet"/>
      <w:lvlText w:val="•"/>
      <w:lvlJc w:val="left"/>
      <w:pPr>
        <w:ind w:left="2728" w:hanging="346"/>
      </w:pPr>
      <w:rPr>
        <w:rFonts w:hint="default"/>
        <w:lang w:val="en-US" w:eastAsia="en-US" w:bidi="ar-SA"/>
      </w:rPr>
    </w:lvl>
    <w:lvl w:ilvl="3">
      <w:start w:val="0"/>
      <w:numFmt w:val="bullet"/>
      <w:lvlText w:val="•"/>
      <w:lvlJc w:val="left"/>
      <w:pPr>
        <w:ind w:left="3582" w:hanging="346"/>
      </w:pPr>
      <w:rPr>
        <w:rFonts w:hint="default"/>
        <w:lang w:val="en-US" w:eastAsia="en-US" w:bidi="ar-SA"/>
      </w:rPr>
    </w:lvl>
    <w:lvl w:ilvl="4">
      <w:start w:val="0"/>
      <w:numFmt w:val="bullet"/>
      <w:lvlText w:val="•"/>
      <w:lvlJc w:val="left"/>
      <w:pPr>
        <w:ind w:left="4436" w:hanging="346"/>
      </w:pPr>
      <w:rPr>
        <w:rFonts w:hint="default"/>
        <w:lang w:val="en-US" w:eastAsia="en-US" w:bidi="ar-SA"/>
      </w:rPr>
    </w:lvl>
    <w:lvl w:ilvl="5">
      <w:start w:val="0"/>
      <w:numFmt w:val="bullet"/>
      <w:lvlText w:val="•"/>
      <w:lvlJc w:val="left"/>
      <w:pPr>
        <w:ind w:left="5290" w:hanging="346"/>
      </w:pPr>
      <w:rPr>
        <w:rFonts w:hint="default"/>
        <w:lang w:val="en-US" w:eastAsia="en-US" w:bidi="ar-SA"/>
      </w:rPr>
    </w:lvl>
    <w:lvl w:ilvl="6">
      <w:start w:val="0"/>
      <w:numFmt w:val="bullet"/>
      <w:lvlText w:val="•"/>
      <w:lvlJc w:val="left"/>
      <w:pPr>
        <w:ind w:left="6144" w:hanging="346"/>
      </w:pPr>
      <w:rPr>
        <w:rFonts w:hint="default"/>
        <w:lang w:val="en-US" w:eastAsia="en-US" w:bidi="ar-SA"/>
      </w:rPr>
    </w:lvl>
    <w:lvl w:ilvl="7">
      <w:start w:val="0"/>
      <w:numFmt w:val="bullet"/>
      <w:lvlText w:val="•"/>
      <w:lvlJc w:val="left"/>
      <w:pPr>
        <w:ind w:left="6998" w:hanging="346"/>
      </w:pPr>
      <w:rPr>
        <w:rFonts w:hint="default"/>
        <w:lang w:val="en-US" w:eastAsia="en-US" w:bidi="ar-SA"/>
      </w:rPr>
    </w:lvl>
    <w:lvl w:ilvl="8">
      <w:start w:val="0"/>
      <w:numFmt w:val="bullet"/>
      <w:lvlText w:val="•"/>
      <w:lvlJc w:val="left"/>
      <w:pPr>
        <w:ind w:left="7852" w:hanging="346"/>
      </w:pPr>
      <w:rPr>
        <w:rFonts w:hint="default"/>
        <w:lang w:val="en-US" w:eastAsia="en-US" w:bidi="ar-SA"/>
      </w:rPr>
    </w:lvl>
  </w:abstractNum>
  <w:abstractNum w:abstractNumId="11">
    <w:multiLevelType w:val="hybridMultilevel"/>
    <w:lvl w:ilvl="0">
      <w:start w:val="5"/>
      <w:numFmt w:val="decimal"/>
      <w:lvlText w:val="%1"/>
      <w:lvlJc w:val="left"/>
      <w:pPr>
        <w:ind w:left="1011" w:hanging="346"/>
        <w:jc w:val="left"/>
      </w:pPr>
      <w:rPr>
        <w:rFonts w:hint="default"/>
        <w:lang w:val="en-US" w:eastAsia="en-US" w:bidi="ar-SA"/>
      </w:rPr>
    </w:lvl>
    <w:lvl w:ilvl="1">
      <w:start w:val="0"/>
      <w:numFmt w:val="decimal"/>
      <w:lvlText w:val="%1.%2"/>
      <w:lvlJc w:val="left"/>
      <w:pPr>
        <w:ind w:left="1011" w:hanging="346"/>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2">
      <w:start w:val="1"/>
      <w:numFmt w:val="decimal"/>
      <w:lvlText w:val="%1.%2.%3"/>
      <w:lvlJc w:val="left"/>
      <w:pPr>
        <w:ind w:left="1174" w:hanging="509"/>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3">
      <w:start w:val="0"/>
      <w:numFmt w:val="bullet"/>
      <w:lvlText w:val="•"/>
      <w:lvlJc w:val="left"/>
      <w:pPr>
        <w:ind w:left="3042" w:hanging="509"/>
      </w:pPr>
      <w:rPr>
        <w:rFonts w:hint="default"/>
        <w:lang w:val="en-US" w:eastAsia="en-US" w:bidi="ar-SA"/>
      </w:rPr>
    </w:lvl>
    <w:lvl w:ilvl="4">
      <w:start w:val="0"/>
      <w:numFmt w:val="bullet"/>
      <w:lvlText w:val="•"/>
      <w:lvlJc w:val="left"/>
      <w:pPr>
        <w:ind w:left="3973" w:hanging="509"/>
      </w:pPr>
      <w:rPr>
        <w:rFonts w:hint="default"/>
        <w:lang w:val="en-US" w:eastAsia="en-US" w:bidi="ar-SA"/>
      </w:rPr>
    </w:lvl>
    <w:lvl w:ilvl="5">
      <w:start w:val="0"/>
      <w:numFmt w:val="bullet"/>
      <w:lvlText w:val="•"/>
      <w:lvlJc w:val="left"/>
      <w:pPr>
        <w:ind w:left="4904" w:hanging="509"/>
      </w:pPr>
      <w:rPr>
        <w:rFonts w:hint="default"/>
        <w:lang w:val="en-US" w:eastAsia="en-US" w:bidi="ar-SA"/>
      </w:rPr>
    </w:lvl>
    <w:lvl w:ilvl="6">
      <w:start w:val="0"/>
      <w:numFmt w:val="bullet"/>
      <w:lvlText w:val="•"/>
      <w:lvlJc w:val="left"/>
      <w:pPr>
        <w:ind w:left="5835" w:hanging="509"/>
      </w:pPr>
      <w:rPr>
        <w:rFonts w:hint="default"/>
        <w:lang w:val="en-US" w:eastAsia="en-US" w:bidi="ar-SA"/>
      </w:rPr>
    </w:lvl>
    <w:lvl w:ilvl="7">
      <w:start w:val="0"/>
      <w:numFmt w:val="bullet"/>
      <w:lvlText w:val="•"/>
      <w:lvlJc w:val="left"/>
      <w:pPr>
        <w:ind w:left="6766" w:hanging="509"/>
      </w:pPr>
      <w:rPr>
        <w:rFonts w:hint="default"/>
        <w:lang w:val="en-US" w:eastAsia="en-US" w:bidi="ar-SA"/>
      </w:rPr>
    </w:lvl>
    <w:lvl w:ilvl="8">
      <w:start w:val="0"/>
      <w:numFmt w:val="bullet"/>
      <w:lvlText w:val="•"/>
      <w:lvlJc w:val="left"/>
      <w:pPr>
        <w:ind w:left="7697" w:hanging="509"/>
      </w:pPr>
      <w:rPr>
        <w:rFonts w:hint="default"/>
        <w:lang w:val="en-US" w:eastAsia="en-US" w:bidi="ar-SA"/>
      </w:rPr>
    </w:lvl>
  </w:abstractNum>
  <w:abstractNum w:abstractNumId="10">
    <w:multiLevelType w:val="hybridMultilevel"/>
    <w:lvl w:ilvl="0">
      <w:start w:val="4"/>
      <w:numFmt w:val="decimal"/>
      <w:lvlText w:val="%1"/>
      <w:lvlJc w:val="left"/>
      <w:pPr>
        <w:ind w:left="1011" w:hanging="346"/>
        <w:jc w:val="left"/>
      </w:pPr>
      <w:rPr>
        <w:rFonts w:hint="default"/>
        <w:lang w:val="en-US" w:eastAsia="en-US" w:bidi="ar-SA"/>
      </w:rPr>
    </w:lvl>
    <w:lvl w:ilvl="1">
      <w:start w:val="3"/>
      <w:numFmt w:val="decimal"/>
      <w:lvlText w:val="%1.%2"/>
      <w:lvlJc w:val="left"/>
      <w:pPr>
        <w:ind w:left="1011" w:hanging="346"/>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2">
      <w:start w:val="0"/>
      <w:numFmt w:val="bullet"/>
      <w:lvlText w:val="•"/>
      <w:lvlJc w:val="left"/>
      <w:pPr>
        <w:ind w:left="2728" w:hanging="346"/>
      </w:pPr>
      <w:rPr>
        <w:rFonts w:hint="default"/>
        <w:lang w:val="en-US" w:eastAsia="en-US" w:bidi="ar-SA"/>
      </w:rPr>
    </w:lvl>
    <w:lvl w:ilvl="3">
      <w:start w:val="0"/>
      <w:numFmt w:val="bullet"/>
      <w:lvlText w:val="•"/>
      <w:lvlJc w:val="left"/>
      <w:pPr>
        <w:ind w:left="3582" w:hanging="346"/>
      </w:pPr>
      <w:rPr>
        <w:rFonts w:hint="default"/>
        <w:lang w:val="en-US" w:eastAsia="en-US" w:bidi="ar-SA"/>
      </w:rPr>
    </w:lvl>
    <w:lvl w:ilvl="4">
      <w:start w:val="0"/>
      <w:numFmt w:val="bullet"/>
      <w:lvlText w:val="•"/>
      <w:lvlJc w:val="left"/>
      <w:pPr>
        <w:ind w:left="4436" w:hanging="346"/>
      </w:pPr>
      <w:rPr>
        <w:rFonts w:hint="default"/>
        <w:lang w:val="en-US" w:eastAsia="en-US" w:bidi="ar-SA"/>
      </w:rPr>
    </w:lvl>
    <w:lvl w:ilvl="5">
      <w:start w:val="0"/>
      <w:numFmt w:val="bullet"/>
      <w:lvlText w:val="•"/>
      <w:lvlJc w:val="left"/>
      <w:pPr>
        <w:ind w:left="5290" w:hanging="346"/>
      </w:pPr>
      <w:rPr>
        <w:rFonts w:hint="default"/>
        <w:lang w:val="en-US" w:eastAsia="en-US" w:bidi="ar-SA"/>
      </w:rPr>
    </w:lvl>
    <w:lvl w:ilvl="6">
      <w:start w:val="0"/>
      <w:numFmt w:val="bullet"/>
      <w:lvlText w:val="•"/>
      <w:lvlJc w:val="left"/>
      <w:pPr>
        <w:ind w:left="6144" w:hanging="346"/>
      </w:pPr>
      <w:rPr>
        <w:rFonts w:hint="default"/>
        <w:lang w:val="en-US" w:eastAsia="en-US" w:bidi="ar-SA"/>
      </w:rPr>
    </w:lvl>
    <w:lvl w:ilvl="7">
      <w:start w:val="0"/>
      <w:numFmt w:val="bullet"/>
      <w:lvlText w:val="•"/>
      <w:lvlJc w:val="left"/>
      <w:pPr>
        <w:ind w:left="6998" w:hanging="346"/>
      </w:pPr>
      <w:rPr>
        <w:rFonts w:hint="default"/>
        <w:lang w:val="en-US" w:eastAsia="en-US" w:bidi="ar-SA"/>
      </w:rPr>
    </w:lvl>
    <w:lvl w:ilvl="8">
      <w:start w:val="0"/>
      <w:numFmt w:val="bullet"/>
      <w:lvlText w:val="•"/>
      <w:lvlJc w:val="left"/>
      <w:pPr>
        <w:ind w:left="7852" w:hanging="346"/>
      </w:pPr>
      <w:rPr>
        <w:rFonts w:hint="default"/>
        <w:lang w:val="en-US" w:eastAsia="en-US" w:bidi="ar-SA"/>
      </w:rPr>
    </w:lvl>
  </w:abstractNum>
  <w:abstractNum w:abstractNumId="9">
    <w:multiLevelType w:val="hybridMultilevel"/>
    <w:lvl w:ilvl="0">
      <w:start w:val="4"/>
      <w:numFmt w:val="decimal"/>
      <w:lvlText w:val="%1"/>
      <w:lvlJc w:val="left"/>
      <w:pPr>
        <w:ind w:left="1063" w:hanging="398"/>
        <w:jc w:val="left"/>
      </w:pPr>
      <w:rPr>
        <w:rFonts w:hint="default"/>
        <w:lang w:val="en-US" w:eastAsia="en-US" w:bidi="ar-SA"/>
      </w:rPr>
    </w:lvl>
    <w:lvl w:ilvl="1">
      <w:start w:val="2"/>
      <w:numFmt w:val="decimal"/>
      <w:lvlText w:val="%1.%2."/>
      <w:lvlJc w:val="left"/>
      <w:pPr>
        <w:ind w:left="1063" w:hanging="398"/>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2">
      <w:start w:val="1"/>
      <w:numFmt w:val="decimal"/>
      <w:lvlText w:val="%1.%2.%3"/>
      <w:lvlJc w:val="left"/>
      <w:pPr>
        <w:ind w:left="1174" w:hanging="509"/>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3">
      <w:start w:val="0"/>
      <w:numFmt w:val="bullet"/>
      <w:lvlText w:val="•"/>
      <w:lvlJc w:val="left"/>
      <w:pPr>
        <w:ind w:left="3042" w:hanging="509"/>
      </w:pPr>
      <w:rPr>
        <w:rFonts w:hint="default"/>
        <w:lang w:val="en-US" w:eastAsia="en-US" w:bidi="ar-SA"/>
      </w:rPr>
    </w:lvl>
    <w:lvl w:ilvl="4">
      <w:start w:val="0"/>
      <w:numFmt w:val="bullet"/>
      <w:lvlText w:val="•"/>
      <w:lvlJc w:val="left"/>
      <w:pPr>
        <w:ind w:left="3973" w:hanging="509"/>
      </w:pPr>
      <w:rPr>
        <w:rFonts w:hint="default"/>
        <w:lang w:val="en-US" w:eastAsia="en-US" w:bidi="ar-SA"/>
      </w:rPr>
    </w:lvl>
    <w:lvl w:ilvl="5">
      <w:start w:val="0"/>
      <w:numFmt w:val="bullet"/>
      <w:lvlText w:val="•"/>
      <w:lvlJc w:val="left"/>
      <w:pPr>
        <w:ind w:left="4904" w:hanging="509"/>
      </w:pPr>
      <w:rPr>
        <w:rFonts w:hint="default"/>
        <w:lang w:val="en-US" w:eastAsia="en-US" w:bidi="ar-SA"/>
      </w:rPr>
    </w:lvl>
    <w:lvl w:ilvl="6">
      <w:start w:val="0"/>
      <w:numFmt w:val="bullet"/>
      <w:lvlText w:val="•"/>
      <w:lvlJc w:val="left"/>
      <w:pPr>
        <w:ind w:left="5835" w:hanging="509"/>
      </w:pPr>
      <w:rPr>
        <w:rFonts w:hint="default"/>
        <w:lang w:val="en-US" w:eastAsia="en-US" w:bidi="ar-SA"/>
      </w:rPr>
    </w:lvl>
    <w:lvl w:ilvl="7">
      <w:start w:val="0"/>
      <w:numFmt w:val="bullet"/>
      <w:lvlText w:val="•"/>
      <w:lvlJc w:val="left"/>
      <w:pPr>
        <w:ind w:left="6766" w:hanging="509"/>
      </w:pPr>
      <w:rPr>
        <w:rFonts w:hint="default"/>
        <w:lang w:val="en-US" w:eastAsia="en-US" w:bidi="ar-SA"/>
      </w:rPr>
    </w:lvl>
    <w:lvl w:ilvl="8">
      <w:start w:val="0"/>
      <w:numFmt w:val="bullet"/>
      <w:lvlText w:val="•"/>
      <w:lvlJc w:val="left"/>
      <w:pPr>
        <w:ind w:left="7697" w:hanging="509"/>
      </w:pPr>
      <w:rPr>
        <w:rFonts w:hint="default"/>
        <w:lang w:val="en-US" w:eastAsia="en-US" w:bidi="ar-SA"/>
      </w:rPr>
    </w:lvl>
  </w:abstractNum>
  <w:abstractNum w:abstractNumId="8">
    <w:multiLevelType w:val="hybridMultilevel"/>
    <w:lvl w:ilvl="0">
      <w:start w:val="4"/>
      <w:numFmt w:val="decimal"/>
      <w:lvlText w:val="%1"/>
      <w:lvlJc w:val="left"/>
      <w:pPr>
        <w:ind w:left="1011" w:hanging="346"/>
        <w:jc w:val="left"/>
      </w:pPr>
      <w:rPr>
        <w:rFonts w:hint="default"/>
        <w:lang w:val="en-US" w:eastAsia="en-US" w:bidi="ar-SA"/>
      </w:rPr>
    </w:lvl>
    <w:lvl w:ilvl="1">
      <w:start w:val="1"/>
      <w:numFmt w:val="decimal"/>
      <w:lvlText w:val="%1.%2"/>
      <w:lvlJc w:val="left"/>
      <w:pPr>
        <w:ind w:left="1011" w:hanging="346"/>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2">
      <w:start w:val="2"/>
      <w:numFmt w:val="decimal"/>
      <w:lvlText w:val="%1.%2.%3"/>
      <w:lvlJc w:val="left"/>
      <w:pPr>
        <w:ind w:left="665" w:hanging="509"/>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3">
      <w:start w:val="0"/>
      <w:numFmt w:val="bullet"/>
      <w:lvlText w:val="•"/>
      <w:lvlJc w:val="left"/>
      <w:pPr>
        <w:ind w:left="2917" w:hanging="509"/>
      </w:pPr>
      <w:rPr>
        <w:rFonts w:hint="default"/>
        <w:lang w:val="en-US" w:eastAsia="en-US" w:bidi="ar-SA"/>
      </w:rPr>
    </w:lvl>
    <w:lvl w:ilvl="4">
      <w:start w:val="0"/>
      <w:numFmt w:val="bullet"/>
      <w:lvlText w:val="•"/>
      <w:lvlJc w:val="left"/>
      <w:pPr>
        <w:ind w:left="3866" w:hanging="509"/>
      </w:pPr>
      <w:rPr>
        <w:rFonts w:hint="default"/>
        <w:lang w:val="en-US" w:eastAsia="en-US" w:bidi="ar-SA"/>
      </w:rPr>
    </w:lvl>
    <w:lvl w:ilvl="5">
      <w:start w:val="0"/>
      <w:numFmt w:val="bullet"/>
      <w:lvlText w:val="•"/>
      <w:lvlJc w:val="left"/>
      <w:pPr>
        <w:ind w:left="4815" w:hanging="509"/>
      </w:pPr>
      <w:rPr>
        <w:rFonts w:hint="default"/>
        <w:lang w:val="en-US" w:eastAsia="en-US" w:bidi="ar-SA"/>
      </w:rPr>
    </w:lvl>
    <w:lvl w:ilvl="6">
      <w:start w:val="0"/>
      <w:numFmt w:val="bullet"/>
      <w:lvlText w:val="•"/>
      <w:lvlJc w:val="left"/>
      <w:pPr>
        <w:ind w:left="5764" w:hanging="509"/>
      </w:pPr>
      <w:rPr>
        <w:rFonts w:hint="default"/>
        <w:lang w:val="en-US" w:eastAsia="en-US" w:bidi="ar-SA"/>
      </w:rPr>
    </w:lvl>
    <w:lvl w:ilvl="7">
      <w:start w:val="0"/>
      <w:numFmt w:val="bullet"/>
      <w:lvlText w:val="•"/>
      <w:lvlJc w:val="left"/>
      <w:pPr>
        <w:ind w:left="6713" w:hanging="509"/>
      </w:pPr>
      <w:rPr>
        <w:rFonts w:hint="default"/>
        <w:lang w:val="en-US" w:eastAsia="en-US" w:bidi="ar-SA"/>
      </w:rPr>
    </w:lvl>
    <w:lvl w:ilvl="8">
      <w:start w:val="0"/>
      <w:numFmt w:val="bullet"/>
      <w:lvlText w:val="•"/>
      <w:lvlJc w:val="left"/>
      <w:pPr>
        <w:ind w:left="7662" w:hanging="509"/>
      </w:pPr>
      <w:rPr>
        <w:rFonts w:hint="default"/>
        <w:lang w:val="en-US" w:eastAsia="en-US" w:bidi="ar-SA"/>
      </w:rPr>
    </w:lvl>
  </w:abstractNum>
  <w:abstractNum w:abstractNumId="7">
    <w:multiLevelType w:val="hybridMultilevel"/>
    <w:lvl w:ilvl="0">
      <w:start w:val="4"/>
      <w:numFmt w:val="decimal"/>
      <w:lvlText w:val="%1"/>
      <w:lvlJc w:val="left"/>
      <w:pPr>
        <w:ind w:left="1063" w:hanging="398"/>
        <w:jc w:val="left"/>
      </w:pPr>
      <w:rPr>
        <w:rFonts w:hint="default"/>
        <w:lang w:val="en-US" w:eastAsia="en-US" w:bidi="ar-SA"/>
      </w:rPr>
    </w:lvl>
    <w:lvl w:ilvl="1">
      <w:start w:val="0"/>
      <w:numFmt w:val="decimal"/>
      <w:lvlText w:val="%1.%2."/>
      <w:lvlJc w:val="left"/>
      <w:pPr>
        <w:ind w:left="1063" w:hanging="398"/>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2">
      <w:start w:val="0"/>
      <w:numFmt w:val="bullet"/>
      <w:lvlText w:val="•"/>
      <w:lvlJc w:val="left"/>
      <w:pPr>
        <w:ind w:left="2760" w:hanging="398"/>
      </w:pPr>
      <w:rPr>
        <w:rFonts w:hint="default"/>
        <w:lang w:val="en-US" w:eastAsia="en-US" w:bidi="ar-SA"/>
      </w:rPr>
    </w:lvl>
    <w:lvl w:ilvl="3">
      <w:start w:val="0"/>
      <w:numFmt w:val="bullet"/>
      <w:lvlText w:val="•"/>
      <w:lvlJc w:val="left"/>
      <w:pPr>
        <w:ind w:left="3610" w:hanging="398"/>
      </w:pPr>
      <w:rPr>
        <w:rFonts w:hint="default"/>
        <w:lang w:val="en-US" w:eastAsia="en-US" w:bidi="ar-SA"/>
      </w:rPr>
    </w:lvl>
    <w:lvl w:ilvl="4">
      <w:start w:val="0"/>
      <w:numFmt w:val="bullet"/>
      <w:lvlText w:val="•"/>
      <w:lvlJc w:val="left"/>
      <w:pPr>
        <w:ind w:left="4460" w:hanging="398"/>
      </w:pPr>
      <w:rPr>
        <w:rFonts w:hint="default"/>
        <w:lang w:val="en-US" w:eastAsia="en-US" w:bidi="ar-SA"/>
      </w:rPr>
    </w:lvl>
    <w:lvl w:ilvl="5">
      <w:start w:val="0"/>
      <w:numFmt w:val="bullet"/>
      <w:lvlText w:val="•"/>
      <w:lvlJc w:val="left"/>
      <w:pPr>
        <w:ind w:left="5310" w:hanging="398"/>
      </w:pPr>
      <w:rPr>
        <w:rFonts w:hint="default"/>
        <w:lang w:val="en-US" w:eastAsia="en-US" w:bidi="ar-SA"/>
      </w:rPr>
    </w:lvl>
    <w:lvl w:ilvl="6">
      <w:start w:val="0"/>
      <w:numFmt w:val="bullet"/>
      <w:lvlText w:val="•"/>
      <w:lvlJc w:val="left"/>
      <w:pPr>
        <w:ind w:left="6160" w:hanging="398"/>
      </w:pPr>
      <w:rPr>
        <w:rFonts w:hint="default"/>
        <w:lang w:val="en-US" w:eastAsia="en-US" w:bidi="ar-SA"/>
      </w:rPr>
    </w:lvl>
    <w:lvl w:ilvl="7">
      <w:start w:val="0"/>
      <w:numFmt w:val="bullet"/>
      <w:lvlText w:val="•"/>
      <w:lvlJc w:val="left"/>
      <w:pPr>
        <w:ind w:left="7010" w:hanging="398"/>
      </w:pPr>
      <w:rPr>
        <w:rFonts w:hint="default"/>
        <w:lang w:val="en-US" w:eastAsia="en-US" w:bidi="ar-SA"/>
      </w:rPr>
    </w:lvl>
    <w:lvl w:ilvl="8">
      <w:start w:val="0"/>
      <w:numFmt w:val="bullet"/>
      <w:lvlText w:val="•"/>
      <w:lvlJc w:val="left"/>
      <w:pPr>
        <w:ind w:left="7860" w:hanging="398"/>
      </w:pPr>
      <w:rPr>
        <w:rFonts w:hint="default"/>
        <w:lang w:val="en-US" w:eastAsia="en-US" w:bidi="ar-SA"/>
      </w:rPr>
    </w:lvl>
  </w:abstractNum>
  <w:abstractNum w:abstractNumId="6">
    <w:multiLevelType w:val="hybridMultilevel"/>
    <w:lvl w:ilvl="0">
      <w:start w:val="3"/>
      <w:numFmt w:val="decimal"/>
      <w:lvlText w:val="%1"/>
      <w:lvlJc w:val="left"/>
      <w:pPr>
        <w:ind w:left="1006" w:hanging="341"/>
        <w:jc w:val="left"/>
      </w:pPr>
      <w:rPr>
        <w:rFonts w:hint="default"/>
        <w:lang w:val="en-US" w:eastAsia="en-US" w:bidi="ar-SA"/>
      </w:rPr>
    </w:lvl>
    <w:lvl w:ilvl="1">
      <w:start w:val="2"/>
      <w:numFmt w:val="decimal"/>
      <w:lvlText w:val="%1.%2"/>
      <w:lvlJc w:val="left"/>
      <w:pPr>
        <w:ind w:left="1006" w:hanging="341"/>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2">
      <w:start w:val="1"/>
      <w:numFmt w:val="decimal"/>
      <w:lvlText w:val="%1.%2.%3"/>
      <w:lvlJc w:val="left"/>
      <w:pPr>
        <w:ind w:left="1174" w:hanging="509"/>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3">
      <w:start w:val="1"/>
      <w:numFmt w:val="decimal"/>
      <w:lvlText w:val="%1.%2.%3.%4"/>
      <w:lvlJc w:val="left"/>
      <w:pPr>
        <w:ind w:left="1346" w:hanging="682"/>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4">
      <w:start w:val="0"/>
      <w:numFmt w:val="bullet"/>
      <w:lvlText w:val="•"/>
      <w:lvlJc w:val="left"/>
      <w:pPr>
        <w:ind w:left="3395" w:hanging="682"/>
      </w:pPr>
      <w:rPr>
        <w:rFonts w:hint="default"/>
        <w:lang w:val="en-US" w:eastAsia="en-US" w:bidi="ar-SA"/>
      </w:rPr>
    </w:lvl>
    <w:lvl w:ilvl="5">
      <w:start w:val="0"/>
      <w:numFmt w:val="bullet"/>
      <w:lvlText w:val="•"/>
      <w:lvlJc w:val="left"/>
      <w:pPr>
        <w:ind w:left="4422" w:hanging="682"/>
      </w:pPr>
      <w:rPr>
        <w:rFonts w:hint="default"/>
        <w:lang w:val="en-US" w:eastAsia="en-US" w:bidi="ar-SA"/>
      </w:rPr>
    </w:lvl>
    <w:lvl w:ilvl="6">
      <w:start w:val="0"/>
      <w:numFmt w:val="bullet"/>
      <w:lvlText w:val="•"/>
      <w:lvlJc w:val="left"/>
      <w:pPr>
        <w:ind w:left="5450" w:hanging="682"/>
      </w:pPr>
      <w:rPr>
        <w:rFonts w:hint="default"/>
        <w:lang w:val="en-US" w:eastAsia="en-US" w:bidi="ar-SA"/>
      </w:rPr>
    </w:lvl>
    <w:lvl w:ilvl="7">
      <w:start w:val="0"/>
      <w:numFmt w:val="bullet"/>
      <w:lvlText w:val="•"/>
      <w:lvlJc w:val="left"/>
      <w:pPr>
        <w:ind w:left="6477" w:hanging="682"/>
      </w:pPr>
      <w:rPr>
        <w:rFonts w:hint="default"/>
        <w:lang w:val="en-US" w:eastAsia="en-US" w:bidi="ar-SA"/>
      </w:rPr>
    </w:lvl>
    <w:lvl w:ilvl="8">
      <w:start w:val="0"/>
      <w:numFmt w:val="bullet"/>
      <w:lvlText w:val="•"/>
      <w:lvlJc w:val="left"/>
      <w:pPr>
        <w:ind w:left="7505" w:hanging="682"/>
      </w:pPr>
      <w:rPr>
        <w:rFonts w:hint="default"/>
        <w:lang w:val="en-US" w:eastAsia="en-US" w:bidi="ar-SA"/>
      </w:rPr>
    </w:lvl>
  </w:abstractNum>
  <w:abstractNum w:abstractNumId="5">
    <w:multiLevelType w:val="hybridMultilevel"/>
    <w:lvl w:ilvl="0">
      <w:start w:val="3"/>
      <w:numFmt w:val="decimal"/>
      <w:lvlText w:val="%1"/>
      <w:lvlJc w:val="left"/>
      <w:pPr>
        <w:ind w:left="1174" w:hanging="509"/>
        <w:jc w:val="left"/>
      </w:pPr>
      <w:rPr>
        <w:rFonts w:hint="default"/>
        <w:lang w:val="en-US" w:eastAsia="en-US" w:bidi="ar-SA"/>
      </w:rPr>
    </w:lvl>
    <w:lvl w:ilvl="1">
      <w:start w:val="1"/>
      <w:numFmt w:val="decimal"/>
      <w:lvlText w:val="%1.%2"/>
      <w:lvlJc w:val="left"/>
      <w:pPr>
        <w:ind w:left="1174" w:hanging="509"/>
        <w:jc w:val="left"/>
      </w:pPr>
      <w:rPr>
        <w:rFonts w:hint="default"/>
        <w:lang w:val="en-US" w:eastAsia="en-US" w:bidi="ar-SA"/>
      </w:rPr>
    </w:lvl>
    <w:lvl w:ilvl="2">
      <w:start w:val="1"/>
      <w:numFmt w:val="decimal"/>
      <w:lvlText w:val="%1.%2.%3"/>
      <w:lvlJc w:val="left"/>
      <w:pPr>
        <w:ind w:left="1174" w:hanging="509"/>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3">
      <w:start w:val="0"/>
      <w:numFmt w:val="bullet"/>
      <w:lvlText w:val="•"/>
      <w:lvlJc w:val="left"/>
      <w:pPr>
        <w:ind w:left="3694" w:hanging="509"/>
      </w:pPr>
      <w:rPr>
        <w:rFonts w:hint="default"/>
        <w:lang w:val="en-US" w:eastAsia="en-US" w:bidi="ar-SA"/>
      </w:rPr>
    </w:lvl>
    <w:lvl w:ilvl="4">
      <w:start w:val="0"/>
      <w:numFmt w:val="bullet"/>
      <w:lvlText w:val="•"/>
      <w:lvlJc w:val="left"/>
      <w:pPr>
        <w:ind w:left="4532" w:hanging="509"/>
      </w:pPr>
      <w:rPr>
        <w:rFonts w:hint="default"/>
        <w:lang w:val="en-US" w:eastAsia="en-US" w:bidi="ar-SA"/>
      </w:rPr>
    </w:lvl>
    <w:lvl w:ilvl="5">
      <w:start w:val="0"/>
      <w:numFmt w:val="bullet"/>
      <w:lvlText w:val="•"/>
      <w:lvlJc w:val="left"/>
      <w:pPr>
        <w:ind w:left="5370" w:hanging="509"/>
      </w:pPr>
      <w:rPr>
        <w:rFonts w:hint="default"/>
        <w:lang w:val="en-US" w:eastAsia="en-US" w:bidi="ar-SA"/>
      </w:rPr>
    </w:lvl>
    <w:lvl w:ilvl="6">
      <w:start w:val="0"/>
      <w:numFmt w:val="bullet"/>
      <w:lvlText w:val="•"/>
      <w:lvlJc w:val="left"/>
      <w:pPr>
        <w:ind w:left="6208" w:hanging="509"/>
      </w:pPr>
      <w:rPr>
        <w:rFonts w:hint="default"/>
        <w:lang w:val="en-US" w:eastAsia="en-US" w:bidi="ar-SA"/>
      </w:rPr>
    </w:lvl>
    <w:lvl w:ilvl="7">
      <w:start w:val="0"/>
      <w:numFmt w:val="bullet"/>
      <w:lvlText w:val="•"/>
      <w:lvlJc w:val="left"/>
      <w:pPr>
        <w:ind w:left="7046" w:hanging="509"/>
      </w:pPr>
      <w:rPr>
        <w:rFonts w:hint="default"/>
        <w:lang w:val="en-US" w:eastAsia="en-US" w:bidi="ar-SA"/>
      </w:rPr>
    </w:lvl>
    <w:lvl w:ilvl="8">
      <w:start w:val="0"/>
      <w:numFmt w:val="bullet"/>
      <w:lvlText w:val="•"/>
      <w:lvlJc w:val="left"/>
      <w:pPr>
        <w:ind w:left="7884" w:hanging="509"/>
      </w:pPr>
      <w:rPr>
        <w:rFonts w:hint="default"/>
        <w:lang w:val="en-US" w:eastAsia="en-US" w:bidi="ar-SA"/>
      </w:rPr>
    </w:lvl>
  </w:abstractNum>
  <w:abstractNum w:abstractNumId="4">
    <w:multiLevelType w:val="hybridMultilevel"/>
    <w:lvl w:ilvl="0">
      <w:start w:val="3"/>
      <w:numFmt w:val="decimal"/>
      <w:lvlText w:val="%1"/>
      <w:lvlJc w:val="left"/>
      <w:pPr>
        <w:ind w:left="1006" w:hanging="341"/>
        <w:jc w:val="left"/>
      </w:pPr>
      <w:rPr>
        <w:rFonts w:hint="default"/>
        <w:lang w:val="en-US" w:eastAsia="en-US" w:bidi="ar-SA"/>
      </w:rPr>
    </w:lvl>
    <w:lvl w:ilvl="1">
      <w:start w:val="0"/>
      <w:numFmt w:val="decimal"/>
      <w:lvlText w:val="%1.%2"/>
      <w:lvlJc w:val="left"/>
      <w:pPr>
        <w:ind w:left="1006" w:hanging="341"/>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2">
      <w:start w:val="0"/>
      <w:numFmt w:val="bullet"/>
      <w:lvlText w:val="•"/>
      <w:lvlJc w:val="left"/>
      <w:pPr>
        <w:ind w:left="2712" w:hanging="341"/>
      </w:pPr>
      <w:rPr>
        <w:rFonts w:hint="default"/>
        <w:lang w:val="en-US" w:eastAsia="en-US" w:bidi="ar-SA"/>
      </w:rPr>
    </w:lvl>
    <w:lvl w:ilvl="3">
      <w:start w:val="0"/>
      <w:numFmt w:val="bullet"/>
      <w:lvlText w:val="•"/>
      <w:lvlJc w:val="left"/>
      <w:pPr>
        <w:ind w:left="3568" w:hanging="341"/>
      </w:pPr>
      <w:rPr>
        <w:rFonts w:hint="default"/>
        <w:lang w:val="en-US" w:eastAsia="en-US" w:bidi="ar-SA"/>
      </w:rPr>
    </w:lvl>
    <w:lvl w:ilvl="4">
      <w:start w:val="0"/>
      <w:numFmt w:val="bullet"/>
      <w:lvlText w:val="•"/>
      <w:lvlJc w:val="left"/>
      <w:pPr>
        <w:ind w:left="4424" w:hanging="341"/>
      </w:pPr>
      <w:rPr>
        <w:rFonts w:hint="default"/>
        <w:lang w:val="en-US" w:eastAsia="en-US" w:bidi="ar-SA"/>
      </w:rPr>
    </w:lvl>
    <w:lvl w:ilvl="5">
      <w:start w:val="0"/>
      <w:numFmt w:val="bullet"/>
      <w:lvlText w:val="•"/>
      <w:lvlJc w:val="left"/>
      <w:pPr>
        <w:ind w:left="5280" w:hanging="341"/>
      </w:pPr>
      <w:rPr>
        <w:rFonts w:hint="default"/>
        <w:lang w:val="en-US" w:eastAsia="en-US" w:bidi="ar-SA"/>
      </w:rPr>
    </w:lvl>
    <w:lvl w:ilvl="6">
      <w:start w:val="0"/>
      <w:numFmt w:val="bullet"/>
      <w:lvlText w:val="•"/>
      <w:lvlJc w:val="left"/>
      <w:pPr>
        <w:ind w:left="6136" w:hanging="341"/>
      </w:pPr>
      <w:rPr>
        <w:rFonts w:hint="default"/>
        <w:lang w:val="en-US" w:eastAsia="en-US" w:bidi="ar-SA"/>
      </w:rPr>
    </w:lvl>
    <w:lvl w:ilvl="7">
      <w:start w:val="0"/>
      <w:numFmt w:val="bullet"/>
      <w:lvlText w:val="•"/>
      <w:lvlJc w:val="left"/>
      <w:pPr>
        <w:ind w:left="6992" w:hanging="341"/>
      </w:pPr>
      <w:rPr>
        <w:rFonts w:hint="default"/>
        <w:lang w:val="en-US" w:eastAsia="en-US" w:bidi="ar-SA"/>
      </w:rPr>
    </w:lvl>
    <w:lvl w:ilvl="8">
      <w:start w:val="0"/>
      <w:numFmt w:val="bullet"/>
      <w:lvlText w:val="•"/>
      <w:lvlJc w:val="left"/>
      <w:pPr>
        <w:ind w:left="7848" w:hanging="341"/>
      </w:pPr>
      <w:rPr>
        <w:rFonts w:hint="default"/>
        <w:lang w:val="en-US" w:eastAsia="en-US" w:bidi="ar-SA"/>
      </w:rPr>
    </w:lvl>
  </w:abstractNum>
  <w:abstractNum w:abstractNumId="3">
    <w:multiLevelType w:val="hybridMultilevel"/>
    <w:lvl w:ilvl="0">
      <w:start w:val="2"/>
      <w:numFmt w:val="decimal"/>
      <w:lvlText w:val="%1"/>
      <w:lvlJc w:val="left"/>
      <w:pPr>
        <w:ind w:left="665" w:hanging="509"/>
        <w:jc w:val="left"/>
      </w:pPr>
      <w:rPr>
        <w:rFonts w:hint="default"/>
        <w:lang w:val="en-US" w:eastAsia="en-US" w:bidi="ar-SA"/>
      </w:rPr>
    </w:lvl>
    <w:lvl w:ilvl="1">
      <w:start w:val="2"/>
      <w:numFmt w:val="decimal"/>
      <w:lvlText w:val="%1.%2"/>
      <w:lvlJc w:val="left"/>
      <w:pPr>
        <w:ind w:left="665" w:hanging="509"/>
        <w:jc w:val="left"/>
      </w:pPr>
      <w:rPr>
        <w:rFonts w:hint="default"/>
        <w:lang w:val="en-US" w:eastAsia="en-US" w:bidi="ar-SA"/>
      </w:rPr>
    </w:lvl>
    <w:lvl w:ilvl="2">
      <w:start w:val="2"/>
      <w:numFmt w:val="decimal"/>
      <w:lvlText w:val="%1.%2.%3"/>
      <w:lvlJc w:val="left"/>
      <w:pPr>
        <w:ind w:left="665" w:hanging="509"/>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3">
      <w:start w:val="0"/>
      <w:numFmt w:val="bullet"/>
      <w:lvlText w:val="•"/>
      <w:lvlJc w:val="left"/>
      <w:pPr>
        <w:ind w:left="3330" w:hanging="509"/>
      </w:pPr>
      <w:rPr>
        <w:rFonts w:hint="default"/>
        <w:lang w:val="en-US" w:eastAsia="en-US" w:bidi="ar-SA"/>
      </w:rPr>
    </w:lvl>
    <w:lvl w:ilvl="4">
      <w:start w:val="0"/>
      <w:numFmt w:val="bullet"/>
      <w:lvlText w:val="•"/>
      <w:lvlJc w:val="left"/>
      <w:pPr>
        <w:ind w:left="4220" w:hanging="509"/>
      </w:pPr>
      <w:rPr>
        <w:rFonts w:hint="default"/>
        <w:lang w:val="en-US" w:eastAsia="en-US" w:bidi="ar-SA"/>
      </w:rPr>
    </w:lvl>
    <w:lvl w:ilvl="5">
      <w:start w:val="0"/>
      <w:numFmt w:val="bullet"/>
      <w:lvlText w:val="•"/>
      <w:lvlJc w:val="left"/>
      <w:pPr>
        <w:ind w:left="5110" w:hanging="509"/>
      </w:pPr>
      <w:rPr>
        <w:rFonts w:hint="default"/>
        <w:lang w:val="en-US" w:eastAsia="en-US" w:bidi="ar-SA"/>
      </w:rPr>
    </w:lvl>
    <w:lvl w:ilvl="6">
      <w:start w:val="0"/>
      <w:numFmt w:val="bullet"/>
      <w:lvlText w:val="•"/>
      <w:lvlJc w:val="left"/>
      <w:pPr>
        <w:ind w:left="6000" w:hanging="509"/>
      </w:pPr>
      <w:rPr>
        <w:rFonts w:hint="default"/>
        <w:lang w:val="en-US" w:eastAsia="en-US" w:bidi="ar-SA"/>
      </w:rPr>
    </w:lvl>
    <w:lvl w:ilvl="7">
      <w:start w:val="0"/>
      <w:numFmt w:val="bullet"/>
      <w:lvlText w:val="•"/>
      <w:lvlJc w:val="left"/>
      <w:pPr>
        <w:ind w:left="6890" w:hanging="509"/>
      </w:pPr>
      <w:rPr>
        <w:rFonts w:hint="default"/>
        <w:lang w:val="en-US" w:eastAsia="en-US" w:bidi="ar-SA"/>
      </w:rPr>
    </w:lvl>
    <w:lvl w:ilvl="8">
      <w:start w:val="0"/>
      <w:numFmt w:val="bullet"/>
      <w:lvlText w:val="•"/>
      <w:lvlJc w:val="left"/>
      <w:pPr>
        <w:ind w:left="7780" w:hanging="509"/>
      </w:pPr>
      <w:rPr>
        <w:rFonts w:hint="default"/>
        <w:lang w:val="en-US" w:eastAsia="en-US" w:bidi="ar-SA"/>
      </w:rPr>
    </w:lvl>
  </w:abstractNum>
  <w:abstractNum w:abstractNumId="2">
    <w:multiLevelType w:val="hybridMultilevel"/>
    <w:lvl w:ilvl="0">
      <w:start w:val="2"/>
      <w:numFmt w:val="decimal"/>
      <w:lvlText w:val="%1"/>
      <w:lvlJc w:val="left"/>
      <w:pPr>
        <w:ind w:left="1236" w:hanging="571"/>
        <w:jc w:val="left"/>
      </w:pPr>
      <w:rPr>
        <w:rFonts w:hint="default"/>
        <w:lang w:val="en-US" w:eastAsia="en-US" w:bidi="ar-SA"/>
      </w:rPr>
    </w:lvl>
    <w:lvl w:ilvl="1">
      <w:start w:val="2"/>
      <w:numFmt w:val="decimal"/>
      <w:lvlText w:val="%1.%2"/>
      <w:lvlJc w:val="left"/>
      <w:pPr>
        <w:ind w:left="1236" w:hanging="571"/>
        <w:jc w:val="left"/>
      </w:pPr>
      <w:rPr>
        <w:rFonts w:hint="default"/>
        <w:lang w:val="en-US" w:eastAsia="en-US" w:bidi="ar-SA"/>
      </w:rPr>
    </w:lvl>
    <w:lvl w:ilvl="2">
      <w:start w:val="1"/>
      <w:numFmt w:val="decimal"/>
      <w:lvlText w:val="%1.%2.%3."/>
      <w:lvlJc w:val="left"/>
      <w:pPr>
        <w:ind w:left="1236" w:hanging="571"/>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3">
      <w:start w:val="0"/>
      <w:numFmt w:val="bullet"/>
      <w:lvlText w:val="•"/>
      <w:lvlJc w:val="left"/>
      <w:pPr>
        <w:ind w:left="3736" w:hanging="571"/>
      </w:pPr>
      <w:rPr>
        <w:rFonts w:hint="default"/>
        <w:lang w:val="en-US" w:eastAsia="en-US" w:bidi="ar-SA"/>
      </w:rPr>
    </w:lvl>
    <w:lvl w:ilvl="4">
      <w:start w:val="0"/>
      <w:numFmt w:val="bullet"/>
      <w:lvlText w:val="•"/>
      <w:lvlJc w:val="left"/>
      <w:pPr>
        <w:ind w:left="4568" w:hanging="571"/>
      </w:pPr>
      <w:rPr>
        <w:rFonts w:hint="default"/>
        <w:lang w:val="en-US" w:eastAsia="en-US" w:bidi="ar-SA"/>
      </w:rPr>
    </w:lvl>
    <w:lvl w:ilvl="5">
      <w:start w:val="0"/>
      <w:numFmt w:val="bullet"/>
      <w:lvlText w:val="•"/>
      <w:lvlJc w:val="left"/>
      <w:pPr>
        <w:ind w:left="5400" w:hanging="571"/>
      </w:pPr>
      <w:rPr>
        <w:rFonts w:hint="default"/>
        <w:lang w:val="en-US" w:eastAsia="en-US" w:bidi="ar-SA"/>
      </w:rPr>
    </w:lvl>
    <w:lvl w:ilvl="6">
      <w:start w:val="0"/>
      <w:numFmt w:val="bullet"/>
      <w:lvlText w:val="•"/>
      <w:lvlJc w:val="left"/>
      <w:pPr>
        <w:ind w:left="6232" w:hanging="571"/>
      </w:pPr>
      <w:rPr>
        <w:rFonts w:hint="default"/>
        <w:lang w:val="en-US" w:eastAsia="en-US" w:bidi="ar-SA"/>
      </w:rPr>
    </w:lvl>
    <w:lvl w:ilvl="7">
      <w:start w:val="0"/>
      <w:numFmt w:val="bullet"/>
      <w:lvlText w:val="•"/>
      <w:lvlJc w:val="left"/>
      <w:pPr>
        <w:ind w:left="7064" w:hanging="571"/>
      </w:pPr>
      <w:rPr>
        <w:rFonts w:hint="default"/>
        <w:lang w:val="en-US" w:eastAsia="en-US" w:bidi="ar-SA"/>
      </w:rPr>
    </w:lvl>
    <w:lvl w:ilvl="8">
      <w:start w:val="0"/>
      <w:numFmt w:val="bullet"/>
      <w:lvlText w:val="•"/>
      <w:lvlJc w:val="left"/>
      <w:pPr>
        <w:ind w:left="7896" w:hanging="571"/>
      </w:pPr>
      <w:rPr>
        <w:rFonts w:hint="default"/>
        <w:lang w:val="en-US" w:eastAsia="en-US" w:bidi="ar-SA"/>
      </w:rPr>
    </w:lvl>
  </w:abstractNum>
  <w:abstractNum w:abstractNumId="1">
    <w:multiLevelType w:val="hybridMultilevel"/>
    <w:lvl w:ilvl="0">
      <w:start w:val="2"/>
      <w:numFmt w:val="decimal"/>
      <w:lvlText w:val="%1"/>
      <w:lvlJc w:val="left"/>
      <w:pPr>
        <w:ind w:left="1011" w:hanging="346"/>
        <w:jc w:val="left"/>
      </w:pPr>
      <w:rPr>
        <w:rFonts w:hint="default"/>
        <w:lang w:val="en-US" w:eastAsia="en-US" w:bidi="ar-SA"/>
      </w:rPr>
    </w:lvl>
    <w:lvl w:ilvl="1">
      <w:start w:val="0"/>
      <w:numFmt w:val="decimal"/>
      <w:lvlText w:val="%1.%2"/>
      <w:lvlJc w:val="left"/>
      <w:pPr>
        <w:ind w:left="1011" w:hanging="346"/>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2">
      <w:start w:val="1"/>
      <w:numFmt w:val="decimal"/>
      <w:lvlText w:val="%1.%2.%3"/>
      <w:lvlJc w:val="left"/>
      <w:pPr>
        <w:ind w:left="1174" w:hanging="509"/>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3">
      <w:start w:val="0"/>
      <w:numFmt w:val="bullet"/>
      <w:lvlText w:val="•"/>
      <w:lvlJc w:val="left"/>
      <w:pPr>
        <w:ind w:left="3042" w:hanging="509"/>
      </w:pPr>
      <w:rPr>
        <w:rFonts w:hint="default"/>
        <w:lang w:val="en-US" w:eastAsia="en-US" w:bidi="ar-SA"/>
      </w:rPr>
    </w:lvl>
    <w:lvl w:ilvl="4">
      <w:start w:val="0"/>
      <w:numFmt w:val="bullet"/>
      <w:lvlText w:val="•"/>
      <w:lvlJc w:val="left"/>
      <w:pPr>
        <w:ind w:left="3973" w:hanging="509"/>
      </w:pPr>
      <w:rPr>
        <w:rFonts w:hint="default"/>
        <w:lang w:val="en-US" w:eastAsia="en-US" w:bidi="ar-SA"/>
      </w:rPr>
    </w:lvl>
    <w:lvl w:ilvl="5">
      <w:start w:val="0"/>
      <w:numFmt w:val="bullet"/>
      <w:lvlText w:val="•"/>
      <w:lvlJc w:val="left"/>
      <w:pPr>
        <w:ind w:left="4904" w:hanging="509"/>
      </w:pPr>
      <w:rPr>
        <w:rFonts w:hint="default"/>
        <w:lang w:val="en-US" w:eastAsia="en-US" w:bidi="ar-SA"/>
      </w:rPr>
    </w:lvl>
    <w:lvl w:ilvl="6">
      <w:start w:val="0"/>
      <w:numFmt w:val="bullet"/>
      <w:lvlText w:val="•"/>
      <w:lvlJc w:val="left"/>
      <w:pPr>
        <w:ind w:left="5835" w:hanging="509"/>
      </w:pPr>
      <w:rPr>
        <w:rFonts w:hint="default"/>
        <w:lang w:val="en-US" w:eastAsia="en-US" w:bidi="ar-SA"/>
      </w:rPr>
    </w:lvl>
    <w:lvl w:ilvl="7">
      <w:start w:val="0"/>
      <w:numFmt w:val="bullet"/>
      <w:lvlText w:val="•"/>
      <w:lvlJc w:val="left"/>
      <w:pPr>
        <w:ind w:left="6766" w:hanging="509"/>
      </w:pPr>
      <w:rPr>
        <w:rFonts w:hint="default"/>
        <w:lang w:val="en-US" w:eastAsia="en-US" w:bidi="ar-SA"/>
      </w:rPr>
    </w:lvl>
    <w:lvl w:ilvl="8">
      <w:start w:val="0"/>
      <w:numFmt w:val="bullet"/>
      <w:lvlText w:val="•"/>
      <w:lvlJc w:val="left"/>
      <w:pPr>
        <w:ind w:left="7697" w:hanging="509"/>
      </w:pPr>
      <w:rPr>
        <w:rFonts w:hint="default"/>
        <w:lang w:val="en-US" w:eastAsia="en-US" w:bidi="ar-SA"/>
      </w:rPr>
    </w:lvl>
  </w:abstractNum>
  <w:abstractNum w:abstractNumId="0">
    <w:multiLevelType w:val="hybridMultilevel"/>
    <w:lvl w:ilvl="0">
      <w:start w:val="1"/>
      <w:numFmt w:val="decimal"/>
      <w:lvlText w:val="%1"/>
      <w:lvlJc w:val="left"/>
      <w:pPr>
        <w:ind w:left="1011" w:hanging="346"/>
        <w:jc w:val="left"/>
      </w:pPr>
      <w:rPr>
        <w:rFonts w:hint="default"/>
        <w:lang w:val="en-US" w:eastAsia="en-US" w:bidi="ar-SA"/>
      </w:rPr>
    </w:lvl>
    <w:lvl w:ilvl="1">
      <w:start w:val="0"/>
      <w:numFmt w:val="decimal"/>
      <w:lvlText w:val="%1.%2"/>
      <w:lvlJc w:val="left"/>
      <w:pPr>
        <w:ind w:left="1011" w:hanging="346"/>
        <w:jc w:val="left"/>
      </w:pPr>
      <w:rPr>
        <w:rFonts w:hint="default" w:ascii="Times New Roman" w:hAnsi="Times New Roman" w:eastAsia="Times New Roman" w:cs="Times New Roman"/>
        <w:b w:val="0"/>
        <w:bCs w:val="0"/>
        <w:i w:val="0"/>
        <w:iCs w:val="0"/>
        <w:spacing w:val="-4"/>
        <w:w w:val="102"/>
        <w:sz w:val="22"/>
        <w:szCs w:val="22"/>
        <w:lang w:val="en-US" w:eastAsia="en-US" w:bidi="ar-SA"/>
      </w:rPr>
    </w:lvl>
    <w:lvl w:ilvl="2">
      <w:start w:val="0"/>
      <w:numFmt w:val="bullet"/>
      <w:lvlText w:val="•"/>
      <w:lvlJc w:val="left"/>
      <w:pPr>
        <w:ind w:left="2728" w:hanging="346"/>
      </w:pPr>
      <w:rPr>
        <w:rFonts w:hint="default"/>
        <w:lang w:val="en-US" w:eastAsia="en-US" w:bidi="ar-SA"/>
      </w:rPr>
    </w:lvl>
    <w:lvl w:ilvl="3">
      <w:start w:val="0"/>
      <w:numFmt w:val="bullet"/>
      <w:lvlText w:val="•"/>
      <w:lvlJc w:val="left"/>
      <w:pPr>
        <w:ind w:left="3582" w:hanging="346"/>
      </w:pPr>
      <w:rPr>
        <w:rFonts w:hint="default"/>
        <w:lang w:val="en-US" w:eastAsia="en-US" w:bidi="ar-SA"/>
      </w:rPr>
    </w:lvl>
    <w:lvl w:ilvl="4">
      <w:start w:val="0"/>
      <w:numFmt w:val="bullet"/>
      <w:lvlText w:val="•"/>
      <w:lvlJc w:val="left"/>
      <w:pPr>
        <w:ind w:left="4436" w:hanging="346"/>
      </w:pPr>
      <w:rPr>
        <w:rFonts w:hint="default"/>
        <w:lang w:val="en-US" w:eastAsia="en-US" w:bidi="ar-SA"/>
      </w:rPr>
    </w:lvl>
    <w:lvl w:ilvl="5">
      <w:start w:val="0"/>
      <w:numFmt w:val="bullet"/>
      <w:lvlText w:val="•"/>
      <w:lvlJc w:val="left"/>
      <w:pPr>
        <w:ind w:left="5290" w:hanging="346"/>
      </w:pPr>
      <w:rPr>
        <w:rFonts w:hint="default"/>
        <w:lang w:val="en-US" w:eastAsia="en-US" w:bidi="ar-SA"/>
      </w:rPr>
    </w:lvl>
    <w:lvl w:ilvl="6">
      <w:start w:val="0"/>
      <w:numFmt w:val="bullet"/>
      <w:lvlText w:val="•"/>
      <w:lvlJc w:val="left"/>
      <w:pPr>
        <w:ind w:left="6144" w:hanging="346"/>
      </w:pPr>
      <w:rPr>
        <w:rFonts w:hint="default"/>
        <w:lang w:val="en-US" w:eastAsia="en-US" w:bidi="ar-SA"/>
      </w:rPr>
    </w:lvl>
    <w:lvl w:ilvl="7">
      <w:start w:val="0"/>
      <w:numFmt w:val="bullet"/>
      <w:lvlText w:val="•"/>
      <w:lvlJc w:val="left"/>
      <w:pPr>
        <w:ind w:left="6998" w:hanging="346"/>
      </w:pPr>
      <w:rPr>
        <w:rFonts w:hint="default"/>
        <w:lang w:val="en-US" w:eastAsia="en-US" w:bidi="ar-SA"/>
      </w:rPr>
    </w:lvl>
    <w:lvl w:ilvl="8">
      <w:start w:val="0"/>
      <w:numFmt w:val="bullet"/>
      <w:lvlText w:val="•"/>
      <w:lvlJc w:val="left"/>
      <w:pPr>
        <w:ind w:left="7852" w:hanging="346"/>
      </w:pPr>
      <w:rPr>
        <w:rFonts w:hint="default"/>
        <w:lang w:val="en-US" w:eastAsia="en-US" w:bidi="ar-SA"/>
      </w:rPr>
    </w:lvl>
  </w:abstract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TOC1" w:type="paragraph">
    <w:name w:val="TOC 1"/>
    <w:basedOn w:val="Normal"/>
    <w:uiPriority w:val="1"/>
    <w:qFormat/>
    <w:pPr>
      <w:spacing w:before="270"/>
      <w:ind w:left="665"/>
    </w:pPr>
    <w:rPr>
      <w:rFonts w:ascii="Times New Roman" w:hAnsi="Times New Roman" w:eastAsia="Times New Roman" w:cs="Times New Roman"/>
      <w:b/>
      <w:bCs/>
      <w:sz w:val="22"/>
      <w:szCs w:val="22"/>
      <w:lang w:val="en-US" w:eastAsia="en-US" w:bidi="ar-SA"/>
    </w:rPr>
  </w:style>
  <w:style w:styleId="TOC2" w:type="paragraph">
    <w:name w:val="TOC 2"/>
    <w:basedOn w:val="Normal"/>
    <w:uiPriority w:val="1"/>
    <w:qFormat/>
    <w:pPr>
      <w:spacing w:before="266"/>
      <w:ind w:left="1008" w:hanging="343"/>
    </w:pPr>
    <w:rPr>
      <w:rFonts w:ascii="Times New Roman" w:hAnsi="Times New Roman" w:eastAsia="Times New Roman" w:cs="Times New Roman"/>
      <w:sz w:val="22"/>
      <w:szCs w:val="22"/>
      <w:lang w:val="en-US" w:eastAsia="en-US" w:bidi="ar-SA"/>
    </w:rPr>
  </w:style>
  <w:style w:styleId="TOC3" w:type="paragraph">
    <w:name w:val="TOC 3"/>
    <w:basedOn w:val="Normal"/>
    <w:uiPriority w:val="1"/>
    <w:qFormat/>
    <w:pPr>
      <w:spacing w:before="265"/>
      <w:ind w:left="665" w:hanging="506"/>
    </w:pPr>
    <w:rPr>
      <w:rFonts w:ascii="Times New Roman" w:hAnsi="Times New Roman" w:eastAsia="Times New Roman" w:cs="Times New Roman"/>
      <w:sz w:val="22"/>
      <w:szCs w:val="22"/>
      <w:lang w:val="en-US" w:eastAsia="en-US" w:bidi="ar-SA"/>
    </w:rPr>
  </w:style>
  <w:style w:styleId="BodyText" w:type="paragraph">
    <w:name w:val="Body Text"/>
    <w:basedOn w:val="Normal"/>
    <w:uiPriority w:val="1"/>
    <w:qFormat/>
    <w:pPr/>
    <w:rPr>
      <w:rFonts w:ascii="Times New Roman" w:hAnsi="Times New Roman" w:eastAsia="Times New Roman" w:cs="Times New Roman"/>
      <w:sz w:val="22"/>
      <w:szCs w:val="22"/>
      <w:lang w:val="en-US" w:eastAsia="en-US" w:bidi="ar-SA"/>
    </w:rPr>
  </w:style>
  <w:style w:styleId="Heading1" w:type="paragraph">
    <w:name w:val="Heading 1"/>
    <w:basedOn w:val="Normal"/>
    <w:uiPriority w:val="1"/>
    <w:qFormat/>
    <w:pPr>
      <w:spacing w:before="71"/>
      <w:ind w:right="233"/>
      <w:jc w:val="center"/>
      <w:outlineLvl w:val="1"/>
    </w:pPr>
    <w:rPr>
      <w:rFonts w:ascii="Times New Roman" w:hAnsi="Times New Roman" w:eastAsia="Times New Roman" w:cs="Times New Roman"/>
      <w:b/>
      <w:bCs/>
      <w:sz w:val="26"/>
      <w:szCs w:val="26"/>
      <w:lang w:val="en-US" w:eastAsia="en-US" w:bidi="ar-SA"/>
    </w:rPr>
  </w:style>
  <w:style w:styleId="Heading2" w:type="paragraph">
    <w:name w:val="Heading 2"/>
    <w:basedOn w:val="Normal"/>
    <w:uiPriority w:val="1"/>
    <w:qFormat/>
    <w:pPr>
      <w:spacing w:before="80"/>
      <w:outlineLvl w:val="2"/>
    </w:pPr>
    <w:rPr>
      <w:rFonts w:ascii="Times New Roman" w:hAnsi="Times New Roman" w:eastAsia="Times New Roman" w:cs="Times New Roman"/>
      <w:b/>
      <w:bCs/>
      <w:sz w:val="22"/>
      <w:szCs w:val="22"/>
      <w:lang w:val="en-US" w:eastAsia="en-US" w:bidi="ar-SA"/>
    </w:rPr>
  </w:style>
  <w:style w:styleId="Heading3" w:type="paragraph">
    <w:name w:val="Heading 3"/>
    <w:basedOn w:val="Normal"/>
    <w:uiPriority w:val="1"/>
    <w:qFormat/>
    <w:pPr>
      <w:ind w:left="665"/>
      <w:outlineLvl w:val="3"/>
    </w:pPr>
    <w:rPr>
      <w:rFonts w:ascii="Times New Roman" w:hAnsi="Times New Roman" w:eastAsia="Times New Roman" w:cs="Times New Roman"/>
      <w:b/>
      <w:bCs/>
      <w:sz w:val="22"/>
      <w:szCs w:val="22"/>
      <w:lang w:val="en-US" w:eastAsia="en-US" w:bidi="ar-SA"/>
    </w:rPr>
  </w:style>
  <w:style w:styleId="ListParagraph" w:type="paragraph">
    <w:name w:val="List Paragraph"/>
    <w:basedOn w:val="Normal"/>
    <w:uiPriority w:val="1"/>
    <w:qFormat/>
    <w:pPr>
      <w:ind w:left="1171" w:hanging="506"/>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ind w:left="100"/>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hyperlink" Target="http://www.cnn.com/2003/WEATHER/09/22/isabel/" TargetMode="External"/><Relationship Id="rId17" Type="http://schemas.openxmlformats.org/officeDocument/2006/relationships/hyperlink" Target="http://www.unfpa.org/swp/2007/english/introduction.html" TargetMode="External"/><Relationship Id="rId18" Type="http://schemas.openxmlformats.org/officeDocument/2006/relationships/hyperlink" Target="http://www.cpsc.gov/library/foia/foia03/os/weather.pdf" TargetMode="External"/><Relationship Id="rId19" Type="http://schemas.openxmlformats.org/officeDocument/2006/relationships/hyperlink" Target="http://www.epa.gov/otaq/invntory/overview/pollutants" TargetMode="External"/><Relationship Id="rId20" Type="http://schemas.openxmlformats.org/officeDocument/2006/relationships/image" Target="media/image11.jpeg"/><Relationship Id="rId2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dc:title>Microsoft Word - Generator Exhaust_Preliminary</dc:title>
  <dcterms:created xsi:type="dcterms:W3CDTF">2023-11-07T19:43:26Z</dcterms:created>
  <dcterms:modified xsi:type="dcterms:W3CDTF">2023-11-07T19:43:26Z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2013-05-31T00:00:00Z</vt:filetime>
  </property>
  <property fmtid="{D5CDD505-2E9C-101B-9397-08002B2CF9AE}" pid="3" name="Creator">
    <vt:lpwstr>Microsoft Word - Generator Exhaust_Preliminary</vt:lpwstr>
  </property>
  <property fmtid="{D5CDD505-2E9C-101B-9397-08002B2CF9AE}" pid="4" name="Producer">
    <vt:lpwstr>doPDF   Ver 6.3 Build 308 (Windows XP  x32)</vt:lpwstr>
  </property>
  <property fmtid="{D5CDD505-2E9C-101B-9397-08002B2CF9AE}" pid="5" name="LastSaved">
    <vt:filetime>2013-05-31T00:00:00Z</vt:filetime>
  </property>
</Properties>
</file>